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283D" w14:textId="746F4524" w:rsidR="00775B56" w:rsidRPr="00C62F2E" w:rsidRDefault="00775B56" w:rsidP="003E23E6">
      <w:pPr>
        <w:pStyle w:val="Heading1"/>
        <w:numPr>
          <w:ilvl w:val="0"/>
          <w:numId w:val="0"/>
        </w:numPr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t>Home-Spaces</w:t>
      </w:r>
      <w:r w:rsidR="00960CC9" w:rsidRPr="00C62F2E">
        <w:rPr>
          <w:sz w:val="22"/>
          <w:szCs w:val="24"/>
          <w:lang w:val="en-GB"/>
        </w:rPr>
        <w:t xml:space="preserve">: </w:t>
      </w:r>
      <w:r w:rsidR="00B11D21" w:rsidRPr="00C62F2E">
        <w:rPr>
          <w:sz w:val="22"/>
          <w:szCs w:val="24"/>
          <w:lang w:val="en-GB"/>
        </w:rPr>
        <w:t>Legal Geographies of the</w:t>
      </w:r>
      <w:r w:rsidRPr="00C62F2E">
        <w:rPr>
          <w:sz w:val="22"/>
          <w:szCs w:val="24"/>
          <w:lang w:val="en-GB"/>
        </w:rPr>
        <w:t xml:space="preserve"> Secondary </w:t>
      </w:r>
      <w:r w:rsidR="00A0400C" w:rsidRPr="00C62F2E">
        <w:rPr>
          <w:sz w:val="22"/>
          <w:szCs w:val="24"/>
          <w:lang w:val="en-GB"/>
        </w:rPr>
        <w:t xml:space="preserve">Forced </w:t>
      </w:r>
      <w:r w:rsidR="00124BE5" w:rsidRPr="00C62F2E">
        <w:rPr>
          <w:sz w:val="22"/>
          <w:szCs w:val="24"/>
          <w:lang w:val="en-GB"/>
        </w:rPr>
        <w:t>Displacement</w:t>
      </w:r>
      <w:r w:rsidRPr="00C62F2E">
        <w:rPr>
          <w:sz w:val="22"/>
          <w:szCs w:val="24"/>
          <w:lang w:val="en-GB"/>
        </w:rPr>
        <w:t xml:space="preserve"> </w:t>
      </w:r>
      <w:r w:rsidR="00124BE5" w:rsidRPr="00C62F2E">
        <w:rPr>
          <w:sz w:val="22"/>
          <w:szCs w:val="24"/>
          <w:lang w:val="en-GB"/>
        </w:rPr>
        <w:t>o</w:t>
      </w:r>
      <w:r w:rsidRPr="00C62F2E">
        <w:rPr>
          <w:sz w:val="22"/>
          <w:szCs w:val="24"/>
          <w:lang w:val="en-GB"/>
        </w:rPr>
        <w:t xml:space="preserve">f Palestinian Refugees </w:t>
      </w:r>
      <w:r w:rsidR="00124BE5" w:rsidRPr="00C62F2E">
        <w:rPr>
          <w:sz w:val="22"/>
          <w:szCs w:val="24"/>
          <w:lang w:val="en-GB"/>
        </w:rPr>
        <w:t>f</w:t>
      </w:r>
      <w:r w:rsidRPr="00C62F2E">
        <w:rPr>
          <w:sz w:val="22"/>
          <w:szCs w:val="24"/>
          <w:lang w:val="en-GB"/>
        </w:rPr>
        <w:t>rom Syria</w:t>
      </w:r>
    </w:p>
    <w:p w14:paraId="7EBD1C71" w14:textId="77777777" w:rsidR="00775B56" w:rsidRPr="00C62F2E" w:rsidRDefault="00775B56" w:rsidP="00B32706">
      <w:pPr>
        <w:spacing w:line="240" w:lineRule="auto"/>
        <w:rPr>
          <w:b/>
          <w:sz w:val="21"/>
          <w:szCs w:val="20"/>
          <w:lang w:val="en-GB"/>
        </w:rPr>
      </w:pPr>
    </w:p>
    <w:p w14:paraId="05A883A6" w14:textId="6FC329A0" w:rsidR="003E23E6" w:rsidRPr="00C62F2E" w:rsidRDefault="001E74C8" w:rsidP="003E23E6">
      <w:pPr>
        <w:pStyle w:val="Heading1"/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t>The Research Space (</w:t>
      </w:r>
      <w:r w:rsidR="003E23E6" w:rsidRPr="00C62F2E">
        <w:rPr>
          <w:sz w:val="22"/>
          <w:szCs w:val="24"/>
          <w:lang w:val="en-GB"/>
        </w:rPr>
        <w:t>15.000)</w:t>
      </w:r>
    </w:p>
    <w:p w14:paraId="194657A0" w14:textId="76390CAF" w:rsidR="00B32706" w:rsidRPr="00C62F2E" w:rsidRDefault="00B3270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Introduction</w:t>
      </w:r>
    </w:p>
    <w:p w14:paraId="063D96D0" w14:textId="0C13A6E9" w:rsidR="00B32706" w:rsidRPr="00C62F2E" w:rsidRDefault="00B3270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 xml:space="preserve">Research Question and Outline </w:t>
      </w:r>
    </w:p>
    <w:p w14:paraId="3327DE99" w14:textId="620DC794" w:rsidR="0045440F" w:rsidRPr="00C62F2E" w:rsidRDefault="006A3253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Space and</w:t>
      </w:r>
      <w:r w:rsidR="0045440F" w:rsidRPr="00C62F2E">
        <w:rPr>
          <w:sz w:val="22"/>
          <w:szCs w:val="22"/>
          <w:lang w:val="en-GB"/>
        </w:rPr>
        <w:t xml:space="preserve"> Forced Migration Studies</w:t>
      </w:r>
      <w:r w:rsidR="009F0E3B" w:rsidRPr="00C62F2E">
        <w:rPr>
          <w:sz w:val="22"/>
          <w:szCs w:val="22"/>
          <w:lang w:val="en-GB"/>
        </w:rPr>
        <w:t xml:space="preserve"> </w:t>
      </w:r>
    </w:p>
    <w:p w14:paraId="1B9368EE" w14:textId="4B972150" w:rsidR="00921ECD" w:rsidRPr="00C62F2E" w:rsidRDefault="006A3253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Law, Space and the Sovereign Territory</w:t>
      </w:r>
    </w:p>
    <w:p w14:paraId="7F8BE6FF" w14:textId="1DB9E1D4" w:rsidR="006A3253" w:rsidRPr="00C62F2E" w:rsidRDefault="006A3253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 xml:space="preserve">Home and Territory </w:t>
      </w:r>
    </w:p>
    <w:p w14:paraId="3B71613B" w14:textId="75AA6E7B" w:rsidR="0045440F" w:rsidRPr="00C62F2E" w:rsidRDefault="006A3253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Refugees, State Sovereignty and Spaces of E</w:t>
      </w:r>
      <w:r w:rsidR="0045440F" w:rsidRPr="00C62F2E">
        <w:rPr>
          <w:sz w:val="21"/>
          <w:szCs w:val="21"/>
          <w:lang w:val="en-GB"/>
        </w:rPr>
        <w:t>xception</w:t>
      </w:r>
    </w:p>
    <w:p w14:paraId="4EE374B8" w14:textId="77777777" w:rsidR="00050FB2" w:rsidRPr="00C62F2E" w:rsidRDefault="0045440F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B</w:t>
      </w:r>
      <w:r w:rsidR="006A3253" w:rsidRPr="00C62F2E">
        <w:rPr>
          <w:sz w:val="21"/>
          <w:szCs w:val="21"/>
          <w:lang w:val="en-GB"/>
        </w:rPr>
        <w:t>eyond ‘Bare L</w:t>
      </w:r>
      <w:r w:rsidRPr="00C62F2E">
        <w:rPr>
          <w:sz w:val="21"/>
          <w:szCs w:val="21"/>
          <w:lang w:val="en-GB"/>
        </w:rPr>
        <w:t>ife’: Subjectivity and Agency</w:t>
      </w:r>
      <w:r w:rsidR="00005ED9" w:rsidRPr="00C62F2E">
        <w:rPr>
          <w:sz w:val="21"/>
          <w:szCs w:val="21"/>
          <w:lang w:val="en-GB"/>
        </w:rPr>
        <w:t xml:space="preserve"> </w:t>
      </w:r>
    </w:p>
    <w:p w14:paraId="6A84A931" w14:textId="0D60C53A" w:rsidR="0045440F" w:rsidRPr="00C62F2E" w:rsidRDefault="006A3253" w:rsidP="003E23E6">
      <w:pPr>
        <w:pStyle w:val="Heading2"/>
        <w:rPr>
          <w:sz w:val="18"/>
          <w:szCs w:val="16"/>
          <w:lang w:val="en-GB"/>
        </w:rPr>
      </w:pPr>
      <w:r w:rsidRPr="00C62F2E">
        <w:rPr>
          <w:sz w:val="22"/>
          <w:szCs w:val="22"/>
          <w:lang w:val="en-GB"/>
        </w:rPr>
        <w:t xml:space="preserve">Conceptions and Production of Space: A Critical Approach to Law </w:t>
      </w:r>
    </w:p>
    <w:p w14:paraId="45EC3B9F" w14:textId="73B57F62" w:rsidR="00DD0A85" w:rsidRPr="00C62F2E" w:rsidRDefault="00DD0A85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Reflections on the Methodology and Field Research</w:t>
      </w:r>
    </w:p>
    <w:p w14:paraId="04366E06" w14:textId="77777777" w:rsidR="003E23E6" w:rsidRPr="00C62F2E" w:rsidRDefault="003E23E6" w:rsidP="003E23E6">
      <w:pPr>
        <w:pStyle w:val="ListParagraph"/>
        <w:spacing w:line="240" w:lineRule="auto"/>
        <w:rPr>
          <w:bCs/>
          <w:sz w:val="21"/>
          <w:szCs w:val="20"/>
          <w:lang w:val="en-GB"/>
        </w:rPr>
      </w:pPr>
    </w:p>
    <w:p w14:paraId="414F969E" w14:textId="5EC68262" w:rsidR="00B32706" w:rsidRPr="00C62F2E" w:rsidRDefault="003E23E6" w:rsidP="003E23E6">
      <w:pPr>
        <w:pStyle w:val="Heading1"/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t>Spatial Histories and the Making of the Palestinian Refugee (1</w:t>
      </w:r>
      <w:r w:rsidR="00C62F2E">
        <w:rPr>
          <w:sz w:val="22"/>
          <w:szCs w:val="24"/>
          <w:lang w:val="en-GB"/>
        </w:rPr>
        <w:t>5</w:t>
      </w:r>
      <w:r w:rsidRPr="00C62F2E">
        <w:rPr>
          <w:sz w:val="22"/>
          <w:szCs w:val="24"/>
          <w:lang w:val="en-GB"/>
        </w:rPr>
        <w:t>.000)</w:t>
      </w:r>
    </w:p>
    <w:p w14:paraId="0FB58BEF" w14:textId="1E4C9B44" w:rsidR="00B11D21" w:rsidRPr="00C62F2E" w:rsidRDefault="00B11D21" w:rsidP="00B11D21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Introduction</w:t>
      </w:r>
    </w:p>
    <w:p w14:paraId="52B3586C" w14:textId="0D7199DB" w:rsidR="00194739" w:rsidRPr="00C62F2E" w:rsidRDefault="00B11D21" w:rsidP="00194739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A genealogy of the nation space</w:t>
      </w:r>
    </w:p>
    <w:p w14:paraId="6DC0FBFE" w14:textId="77777777" w:rsidR="00194739" w:rsidRPr="00C62F2E" w:rsidRDefault="00194739" w:rsidP="00194739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National identity</w:t>
      </w:r>
    </w:p>
    <w:p w14:paraId="645822A6" w14:textId="4999324D" w:rsidR="00194739" w:rsidRPr="00C62F2E" w:rsidRDefault="00987AB6" w:rsidP="00194739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(Post-)Colonial Statecraft</w:t>
      </w:r>
      <w:r w:rsidR="00194739" w:rsidRPr="00C62F2E">
        <w:rPr>
          <w:sz w:val="21"/>
          <w:szCs w:val="21"/>
          <w:lang w:val="en-GB"/>
        </w:rPr>
        <w:t>: Territorialising national identity and the role of law</w:t>
      </w:r>
    </w:p>
    <w:p w14:paraId="67E2108E" w14:textId="7BED4F93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Colonial Statecraft in the Levant</w:t>
      </w:r>
    </w:p>
    <w:p w14:paraId="66A212D7" w14:textId="7777777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Ottoman Empire and Greater Syria</w:t>
      </w:r>
    </w:p>
    <w:p w14:paraId="2C57A50A" w14:textId="1D40A978" w:rsidR="00B11D21" w:rsidRPr="00C62F2E" w:rsidRDefault="003E23E6" w:rsidP="00B11D21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British Mandate Palestine and Colonial Statecraft in the Levant</w:t>
      </w:r>
    </w:p>
    <w:p w14:paraId="5A380FB1" w14:textId="60D0263C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 xml:space="preserve">Multiple Displacements </w:t>
      </w:r>
    </w:p>
    <w:p w14:paraId="33BED53D" w14:textId="7777777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1948 The Nakba</w:t>
      </w:r>
    </w:p>
    <w:p w14:paraId="3B075A21" w14:textId="7777777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 xml:space="preserve">1967 Second Arab-Israeli Conflict </w:t>
      </w:r>
    </w:p>
    <w:p w14:paraId="24197D14" w14:textId="54B2296C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2011 The Conflict in Syria</w:t>
      </w:r>
    </w:p>
    <w:p w14:paraId="2EDABE22" w14:textId="5C01BD3F" w:rsidR="00B11D21" w:rsidRPr="00C62F2E" w:rsidRDefault="00B11D21" w:rsidP="00B11D21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Discussion and Conclusion</w:t>
      </w:r>
    </w:p>
    <w:p w14:paraId="6479E38B" w14:textId="77777777" w:rsidR="003E23E6" w:rsidRPr="00C62F2E" w:rsidRDefault="003E23E6" w:rsidP="003E23E6">
      <w:pPr>
        <w:spacing w:line="240" w:lineRule="auto"/>
        <w:rPr>
          <w:bCs/>
          <w:sz w:val="21"/>
          <w:szCs w:val="20"/>
          <w:lang w:val="en-GB"/>
        </w:rPr>
      </w:pPr>
    </w:p>
    <w:p w14:paraId="25F2A991" w14:textId="08FDB5D2" w:rsidR="00B11D21" w:rsidRPr="00C62F2E" w:rsidRDefault="001E74C8" w:rsidP="00B11D21">
      <w:pPr>
        <w:pStyle w:val="Heading1"/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t>Legal and</w:t>
      </w:r>
      <w:r w:rsidR="003E23E6" w:rsidRPr="00C62F2E">
        <w:rPr>
          <w:sz w:val="22"/>
          <w:szCs w:val="24"/>
          <w:lang w:val="en-GB"/>
        </w:rPr>
        <w:t xml:space="preserve"> Humanitarian Space</w:t>
      </w:r>
      <w:r w:rsidR="002D7EA2" w:rsidRPr="00C62F2E">
        <w:rPr>
          <w:sz w:val="22"/>
          <w:szCs w:val="24"/>
          <w:lang w:val="en-GB"/>
        </w:rPr>
        <w:t>s</w:t>
      </w:r>
      <w:r w:rsidR="008438FE" w:rsidRPr="00C62F2E">
        <w:rPr>
          <w:sz w:val="22"/>
          <w:szCs w:val="24"/>
          <w:lang w:val="en-GB"/>
        </w:rPr>
        <w:t xml:space="preserve"> of Protection</w:t>
      </w:r>
      <w:r w:rsidR="009A46D9" w:rsidRPr="00C62F2E">
        <w:rPr>
          <w:sz w:val="22"/>
          <w:szCs w:val="24"/>
          <w:lang w:val="en-GB"/>
        </w:rPr>
        <w:t xml:space="preserve"> </w:t>
      </w:r>
      <w:r w:rsidR="00C62F2E">
        <w:rPr>
          <w:sz w:val="22"/>
          <w:szCs w:val="24"/>
          <w:lang w:val="en-GB"/>
        </w:rPr>
        <w:t>(</w:t>
      </w:r>
      <w:r w:rsidR="003E23E6" w:rsidRPr="00C62F2E">
        <w:rPr>
          <w:i/>
          <w:sz w:val="22"/>
          <w:szCs w:val="24"/>
          <w:lang w:val="en-GB"/>
        </w:rPr>
        <w:t>10.000</w:t>
      </w:r>
      <w:r w:rsidR="0021262F">
        <w:rPr>
          <w:i/>
          <w:sz w:val="22"/>
          <w:szCs w:val="24"/>
          <w:lang w:val="en-GB"/>
        </w:rPr>
        <w:t>)</w:t>
      </w:r>
    </w:p>
    <w:p w14:paraId="70CA3398" w14:textId="53F38A8D" w:rsidR="00B11D21" w:rsidRPr="00C62F2E" w:rsidRDefault="00B11D21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Introduction</w:t>
      </w:r>
    </w:p>
    <w:p w14:paraId="411715A5" w14:textId="362FFE54" w:rsidR="00B11D21" w:rsidRPr="00C62F2E" w:rsidRDefault="00B11D21" w:rsidP="00B11D21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A genealogy of the protection space</w:t>
      </w:r>
    </w:p>
    <w:p w14:paraId="1DEC32EA" w14:textId="437EE48C" w:rsidR="00A8419A" w:rsidRPr="00C62F2E" w:rsidRDefault="003E23E6" w:rsidP="00A8419A">
      <w:pPr>
        <w:pStyle w:val="Heading2"/>
        <w:rPr>
          <w:i/>
          <w:iCs/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 xml:space="preserve">International Refugee </w:t>
      </w:r>
      <w:r w:rsidR="00B11D21" w:rsidRPr="00C62F2E">
        <w:rPr>
          <w:sz w:val="22"/>
          <w:szCs w:val="22"/>
          <w:lang w:val="en-GB"/>
        </w:rPr>
        <w:t>Protection</w:t>
      </w:r>
    </w:p>
    <w:p w14:paraId="32FE1A50" w14:textId="6815BFEA" w:rsidR="00A8419A" w:rsidRPr="00C62F2E" w:rsidRDefault="00A8419A" w:rsidP="00A8419A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The Exclusion of Palestinian Refugees from the International Refugee Protection</w:t>
      </w:r>
    </w:p>
    <w:p w14:paraId="4D39B2B5" w14:textId="72153779" w:rsidR="003E23E6" w:rsidRPr="00C62F2E" w:rsidRDefault="00342552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Regional Refugee Protection: Between the right to have rights and the right to return</w:t>
      </w:r>
    </w:p>
    <w:p w14:paraId="3989A0D2" w14:textId="7777777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Arab Response</w:t>
      </w:r>
    </w:p>
    <w:p w14:paraId="79EC9610" w14:textId="7777777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 xml:space="preserve">Jordan </w:t>
      </w:r>
    </w:p>
    <w:p w14:paraId="732D7C1D" w14:textId="54444C3F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Syria</w:t>
      </w:r>
    </w:p>
    <w:p w14:paraId="5B2DE00E" w14:textId="34495BBC" w:rsidR="00B11D21" w:rsidRPr="00C62F2E" w:rsidRDefault="00B11D21" w:rsidP="00B11D21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Discussion and Conclusion</w:t>
      </w:r>
    </w:p>
    <w:p w14:paraId="01C9EA02" w14:textId="77777777" w:rsidR="003E23E6" w:rsidRPr="00C62F2E" w:rsidRDefault="003E23E6" w:rsidP="00B11D21">
      <w:pPr>
        <w:pStyle w:val="ListParagraph"/>
        <w:spacing w:line="240" w:lineRule="auto"/>
        <w:ind w:left="1416"/>
        <w:rPr>
          <w:iCs/>
          <w:color w:val="7F7F7F" w:themeColor="text1" w:themeTint="80"/>
          <w:sz w:val="18"/>
          <w:szCs w:val="16"/>
          <w:lang w:val="en-GB"/>
        </w:rPr>
      </w:pPr>
    </w:p>
    <w:p w14:paraId="37E97799" w14:textId="1012F711" w:rsidR="003E23E6" w:rsidRPr="00C62F2E" w:rsidRDefault="003E23E6" w:rsidP="003E23E6">
      <w:pPr>
        <w:pStyle w:val="Heading1"/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lastRenderedPageBreak/>
        <w:t>Camp-Space</w:t>
      </w:r>
      <w:r w:rsidR="002658C3" w:rsidRPr="00C62F2E">
        <w:rPr>
          <w:sz w:val="22"/>
          <w:szCs w:val="24"/>
          <w:lang w:val="en-GB"/>
        </w:rPr>
        <w:t>s</w:t>
      </w:r>
      <w:r w:rsidRPr="00C62F2E">
        <w:rPr>
          <w:sz w:val="22"/>
          <w:szCs w:val="24"/>
          <w:lang w:val="en-GB"/>
        </w:rPr>
        <w:t xml:space="preserve"> </w:t>
      </w:r>
      <w:r w:rsidRPr="00C62F2E">
        <w:rPr>
          <w:i/>
          <w:sz w:val="22"/>
          <w:szCs w:val="24"/>
          <w:lang w:val="en-GB"/>
        </w:rPr>
        <w:t>(</w:t>
      </w:r>
      <w:r w:rsidR="00D3753B" w:rsidRPr="00C62F2E">
        <w:rPr>
          <w:i/>
          <w:sz w:val="22"/>
          <w:szCs w:val="24"/>
          <w:lang w:val="en-GB"/>
        </w:rPr>
        <w:t>12</w:t>
      </w:r>
      <w:r w:rsidR="009C4809" w:rsidRPr="00C62F2E">
        <w:rPr>
          <w:i/>
          <w:sz w:val="22"/>
          <w:szCs w:val="24"/>
          <w:lang w:val="en-GB"/>
        </w:rPr>
        <w:t>.000</w:t>
      </w:r>
      <w:r w:rsidR="0021262F">
        <w:rPr>
          <w:i/>
          <w:sz w:val="22"/>
          <w:szCs w:val="24"/>
          <w:lang w:val="en-GB"/>
        </w:rPr>
        <w:t>)</w:t>
      </w:r>
    </w:p>
    <w:p w14:paraId="129DF1A4" w14:textId="77777777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Introduction</w:t>
      </w:r>
    </w:p>
    <w:p w14:paraId="504BD7E0" w14:textId="77777777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A genealogy of the (Palestinian) camp space</w:t>
      </w:r>
    </w:p>
    <w:p w14:paraId="08A5882A" w14:textId="77777777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Geographies of the camp space: Between extraterritoriality and urban camps</w:t>
      </w:r>
    </w:p>
    <w:p w14:paraId="51657A4A" w14:textId="77777777" w:rsidR="003E23E6" w:rsidRPr="00C62F2E" w:rsidRDefault="003E23E6" w:rsidP="003E23E6">
      <w:pPr>
        <w:pStyle w:val="Heading3"/>
        <w:rPr>
          <w:sz w:val="21"/>
          <w:szCs w:val="18"/>
          <w:lang w:val="en-GB"/>
        </w:rPr>
      </w:pPr>
      <w:r w:rsidRPr="00C62F2E">
        <w:rPr>
          <w:sz w:val="21"/>
          <w:szCs w:val="21"/>
          <w:lang w:val="en-GB"/>
        </w:rPr>
        <w:t>Jabal Al Hussein Camp</w:t>
      </w:r>
    </w:p>
    <w:p w14:paraId="3D114A37" w14:textId="77777777" w:rsidR="003E23E6" w:rsidRPr="00C62F2E" w:rsidRDefault="003E23E6" w:rsidP="003E23E6">
      <w:pPr>
        <w:pStyle w:val="Heading3"/>
        <w:rPr>
          <w:sz w:val="21"/>
          <w:szCs w:val="18"/>
          <w:lang w:val="en-GB"/>
        </w:rPr>
      </w:pPr>
      <w:proofErr w:type="spellStart"/>
      <w:r w:rsidRPr="00C62F2E">
        <w:rPr>
          <w:sz w:val="21"/>
          <w:szCs w:val="21"/>
          <w:lang w:val="en-GB"/>
        </w:rPr>
        <w:t>Baqa’a</w:t>
      </w:r>
      <w:proofErr w:type="spellEnd"/>
      <w:r w:rsidRPr="00C62F2E">
        <w:rPr>
          <w:sz w:val="21"/>
          <w:szCs w:val="21"/>
          <w:lang w:val="en-GB"/>
        </w:rPr>
        <w:t xml:space="preserve"> Camp</w:t>
      </w:r>
    </w:p>
    <w:p w14:paraId="5B58F7F2" w14:textId="77777777" w:rsidR="003E23E6" w:rsidRPr="00C62F2E" w:rsidRDefault="003E23E6" w:rsidP="003E23E6">
      <w:pPr>
        <w:pStyle w:val="Heading2"/>
        <w:rPr>
          <w:sz w:val="21"/>
          <w:szCs w:val="22"/>
          <w:lang w:val="en-GB"/>
        </w:rPr>
      </w:pPr>
      <w:r w:rsidRPr="00C62F2E">
        <w:rPr>
          <w:sz w:val="22"/>
          <w:szCs w:val="22"/>
          <w:lang w:val="en-GB"/>
        </w:rPr>
        <w:t>Exceptional Governance and biopolitics</w:t>
      </w:r>
    </w:p>
    <w:p w14:paraId="7F2CE231" w14:textId="77777777" w:rsidR="003E23E6" w:rsidRPr="00C62F2E" w:rsidRDefault="003E23E6" w:rsidP="003E23E6">
      <w:pPr>
        <w:pStyle w:val="Heading2"/>
        <w:rPr>
          <w:sz w:val="21"/>
          <w:szCs w:val="22"/>
          <w:lang w:val="en-GB"/>
        </w:rPr>
      </w:pPr>
      <w:r w:rsidRPr="00C62F2E">
        <w:rPr>
          <w:sz w:val="22"/>
          <w:szCs w:val="22"/>
          <w:lang w:val="en-GB"/>
        </w:rPr>
        <w:t>Multileveled exclusion</w:t>
      </w:r>
    </w:p>
    <w:p w14:paraId="77EE657D" w14:textId="4FA3630D" w:rsidR="003E23E6" w:rsidRPr="00C62F2E" w:rsidRDefault="003E23E6" w:rsidP="003E23E6">
      <w:pPr>
        <w:pStyle w:val="Heading3"/>
        <w:rPr>
          <w:bCs/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 xml:space="preserve">Social </w:t>
      </w:r>
      <w:r w:rsidR="009C7BDB" w:rsidRPr="00C62F2E">
        <w:rPr>
          <w:sz w:val="21"/>
          <w:szCs w:val="21"/>
          <w:lang w:val="en-GB"/>
        </w:rPr>
        <w:t>encounters</w:t>
      </w:r>
      <w:r w:rsidRPr="00C62F2E">
        <w:rPr>
          <w:sz w:val="21"/>
          <w:szCs w:val="21"/>
          <w:lang w:val="en-GB"/>
        </w:rPr>
        <w:t xml:space="preserve"> </w:t>
      </w:r>
    </w:p>
    <w:p w14:paraId="0FB857A3" w14:textId="6BD1319B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Institutional division</w:t>
      </w:r>
    </w:p>
    <w:p w14:paraId="5368F800" w14:textId="4AF8E53D" w:rsidR="002658C3" w:rsidRPr="00C62F2E" w:rsidRDefault="002658C3" w:rsidP="002658C3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Urban informality and camp-identity</w:t>
      </w:r>
    </w:p>
    <w:p w14:paraId="2E06B8FF" w14:textId="77777777" w:rsidR="003E23E6" w:rsidRPr="00C62F2E" w:rsidRDefault="003E23E6" w:rsidP="003E23E6">
      <w:pPr>
        <w:pStyle w:val="Heading2"/>
        <w:rPr>
          <w:sz w:val="21"/>
          <w:szCs w:val="20"/>
          <w:lang w:val="en-GB"/>
        </w:rPr>
      </w:pPr>
      <w:r w:rsidRPr="00C62F2E">
        <w:rPr>
          <w:sz w:val="22"/>
          <w:szCs w:val="22"/>
          <w:lang w:val="en-GB"/>
        </w:rPr>
        <w:t>Discussion and Conclusion</w:t>
      </w:r>
    </w:p>
    <w:p w14:paraId="52F3CBA1" w14:textId="77777777" w:rsidR="003E23E6" w:rsidRPr="00C62F2E" w:rsidRDefault="003E23E6" w:rsidP="003E23E6">
      <w:pPr>
        <w:spacing w:line="240" w:lineRule="auto"/>
        <w:rPr>
          <w:bCs/>
          <w:iCs/>
          <w:sz w:val="21"/>
          <w:szCs w:val="20"/>
          <w:lang w:val="en-GB"/>
        </w:rPr>
      </w:pPr>
    </w:p>
    <w:p w14:paraId="6DD7B3C8" w14:textId="10363F00" w:rsidR="003E23E6" w:rsidRPr="00C62F2E" w:rsidRDefault="003E23E6" w:rsidP="003E23E6">
      <w:pPr>
        <w:pStyle w:val="Heading1"/>
        <w:rPr>
          <w:sz w:val="20"/>
          <w:szCs w:val="24"/>
          <w:lang w:val="en-GB"/>
        </w:rPr>
      </w:pPr>
      <w:r w:rsidRPr="00C62F2E">
        <w:rPr>
          <w:sz w:val="22"/>
          <w:szCs w:val="24"/>
          <w:lang w:val="en-GB"/>
        </w:rPr>
        <w:t>Home-spaces [‘</w:t>
      </w:r>
      <w:proofErr w:type="spellStart"/>
      <w:r w:rsidR="0014546C" w:rsidRPr="00C62F2E">
        <w:rPr>
          <w:sz w:val="22"/>
          <w:szCs w:val="24"/>
          <w:lang w:val="en-GB"/>
        </w:rPr>
        <w:t>a</w:t>
      </w:r>
      <w:r w:rsidRPr="00C62F2E">
        <w:rPr>
          <w:sz w:val="22"/>
          <w:szCs w:val="24"/>
          <w:lang w:val="en-GB"/>
        </w:rPr>
        <w:t>wtan</w:t>
      </w:r>
      <w:proofErr w:type="spellEnd"/>
      <w:r w:rsidRPr="00C62F2E">
        <w:rPr>
          <w:sz w:val="22"/>
          <w:szCs w:val="24"/>
          <w:lang w:val="en-GB"/>
        </w:rPr>
        <w:t xml:space="preserve">’] </w:t>
      </w:r>
      <w:r w:rsidR="00426250" w:rsidRPr="00C62F2E">
        <w:rPr>
          <w:sz w:val="22"/>
          <w:szCs w:val="24"/>
          <w:lang w:val="en-GB"/>
        </w:rPr>
        <w:t>(</w:t>
      </w:r>
      <w:r w:rsidR="00E5069F" w:rsidRPr="00C62F2E">
        <w:rPr>
          <w:sz w:val="22"/>
          <w:szCs w:val="24"/>
          <w:lang w:val="en-GB"/>
        </w:rPr>
        <w:t>20</w:t>
      </w:r>
      <w:r w:rsidR="001E74C8" w:rsidRPr="00C62F2E">
        <w:rPr>
          <w:sz w:val="22"/>
          <w:szCs w:val="24"/>
          <w:lang w:val="en-GB"/>
        </w:rPr>
        <w:t>.000</w:t>
      </w:r>
      <w:r w:rsidR="0021262F">
        <w:rPr>
          <w:sz w:val="22"/>
          <w:szCs w:val="24"/>
          <w:lang w:val="en-GB"/>
        </w:rPr>
        <w:t>)</w:t>
      </w:r>
    </w:p>
    <w:p w14:paraId="0718E6C3" w14:textId="3B357DA7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Introduction</w:t>
      </w:r>
    </w:p>
    <w:p w14:paraId="36B503EC" w14:textId="2482A0CB" w:rsidR="001872A8" w:rsidRPr="00C62F2E" w:rsidRDefault="003E23E6" w:rsidP="001872A8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A genealogy of home</w:t>
      </w:r>
      <w:r w:rsidR="00C22564" w:rsidRPr="00C62F2E">
        <w:rPr>
          <w:sz w:val="22"/>
          <w:szCs w:val="22"/>
          <w:lang w:val="en-GB"/>
        </w:rPr>
        <w:t xml:space="preserve"> </w:t>
      </w:r>
    </w:p>
    <w:p w14:paraId="66D80A6B" w14:textId="251E6EAA" w:rsidR="00966971" w:rsidRPr="00C62F2E" w:rsidRDefault="001872A8" w:rsidP="00966971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Defining home</w:t>
      </w:r>
    </w:p>
    <w:p w14:paraId="5587EF3F" w14:textId="22AF9C46" w:rsidR="00966971" w:rsidRPr="00C62F2E" w:rsidRDefault="00966971" w:rsidP="001872A8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A sense of home</w:t>
      </w:r>
    </w:p>
    <w:p w14:paraId="5A895D9A" w14:textId="7E482279" w:rsidR="001872A8" w:rsidRPr="00C62F2E" w:rsidRDefault="001872A8" w:rsidP="001872A8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Nationalising the home</w:t>
      </w:r>
      <w:r w:rsidR="00F94CDF">
        <w:rPr>
          <w:sz w:val="21"/>
          <w:szCs w:val="21"/>
          <w:lang w:val="en-GB"/>
        </w:rPr>
        <w:t xml:space="preserve"> [</w:t>
      </w:r>
      <w:proofErr w:type="spellStart"/>
      <w:r w:rsidR="00F94CDF">
        <w:rPr>
          <w:sz w:val="21"/>
          <w:szCs w:val="21"/>
          <w:lang w:val="en-GB"/>
        </w:rPr>
        <w:t>watan</w:t>
      </w:r>
      <w:proofErr w:type="spellEnd"/>
      <w:r w:rsidR="00F94CDF">
        <w:rPr>
          <w:sz w:val="21"/>
          <w:szCs w:val="21"/>
          <w:lang w:val="en-GB"/>
        </w:rPr>
        <w:t>]</w:t>
      </w:r>
    </w:p>
    <w:p w14:paraId="70F60504" w14:textId="1199F645" w:rsidR="001872A8" w:rsidRPr="00C62F2E" w:rsidRDefault="001872A8" w:rsidP="001872A8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>The loss of home</w:t>
      </w:r>
    </w:p>
    <w:p w14:paraId="1E3E716D" w14:textId="3EC0206E" w:rsidR="006A75EA" w:rsidRPr="00C62F2E" w:rsidRDefault="006A75EA" w:rsidP="003D12B3">
      <w:pPr>
        <w:pStyle w:val="Heading3"/>
        <w:rPr>
          <w:sz w:val="21"/>
          <w:szCs w:val="22"/>
          <w:lang w:val="en-GB"/>
        </w:rPr>
      </w:pPr>
      <w:r w:rsidRPr="00C62F2E">
        <w:rPr>
          <w:sz w:val="21"/>
          <w:szCs w:val="22"/>
          <w:lang w:val="en-GB"/>
        </w:rPr>
        <w:t>Home-spaces</w:t>
      </w:r>
      <w:r w:rsidR="003E3989" w:rsidRPr="00C62F2E">
        <w:rPr>
          <w:sz w:val="21"/>
          <w:szCs w:val="22"/>
          <w:lang w:val="en-GB"/>
        </w:rPr>
        <w:t xml:space="preserve"> </w:t>
      </w:r>
    </w:p>
    <w:p w14:paraId="405A4B3D" w14:textId="185C0BD4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>H</w:t>
      </w:r>
      <w:r w:rsidR="00D6501E" w:rsidRPr="00C62F2E">
        <w:rPr>
          <w:sz w:val="22"/>
          <w:szCs w:val="22"/>
          <w:lang w:val="en-GB"/>
        </w:rPr>
        <w:t xml:space="preserve">ome as centre </w:t>
      </w:r>
    </w:p>
    <w:p w14:paraId="357B59FB" w14:textId="77777777" w:rsidR="00F94CDF" w:rsidRPr="00F94CDF" w:rsidRDefault="00F94CDF" w:rsidP="00F94CDF">
      <w:pPr>
        <w:pStyle w:val="Heading3"/>
        <w:rPr>
          <w:sz w:val="21"/>
          <w:szCs w:val="21"/>
          <w:lang w:val="en-GB"/>
        </w:rPr>
      </w:pPr>
      <w:bookmarkStart w:id="0" w:name="_Toc39050799"/>
      <w:r w:rsidRPr="00F94CDF">
        <w:rPr>
          <w:sz w:val="21"/>
          <w:szCs w:val="21"/>
          <w:lang w:val="en-GB"/>
        </w:rPr>
        <w:t>The normative home-space: Palestinian refugees with Jordanian citizenship in Syria</w:t>
      </w:r>
      <w:bookmarkEnd w:id="0"/>
    </w:p>
    <w:p w14:paraId="7803F748" w14:textId="72048618" w:rsidR="00330CD6" w:rsidRPr="00C62F2E" w:rsidRDefault="00F94CDF" w:rsidP="00330CD6">
      <w:pPr>
        <w:pStyle w:val="Heading3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Statelessness and t</w:t>
      </w:r>
      <w:r w:rsidR="00330CD6" w:rsidRPr="00C62F2E">
        <w:rPr>
          <w:sz w:val="21"/>
          <w:szCs w:val="21"/>
          <w:lang w:val="en-GB"/>
        </w:rPr>
        <w:t xml:space="preserve">he absence of a </w:t>
      </w:r>
      <w:proofErr w:type="gramStart"/>
      <w:r w:rsidR="00330CD6" w:rsidRPr="00C62F2E">
        <w:rPr>
          <w:sz w:val="21"/>
          <w:szCs w:val="21"/>
          <w:lang w:val="en-GB"/>
        </w:rPr>
        <w:t>normative</w:t>
      </w:r>
      <w:r w:rsidR="004375EF" w:rsidRPr="00C62F2E">
        <w:rPr>
          <w:sz w:val="21"/>
          <w:szCs w:val="21"/>
          <w:lang w:val="en-GB"/>
        </w:rPr>
        <w:t>-</w:t>
      </w:r>
      <w:r w:rsidR="00330CD6" w:rsidRPr="00C62F2E">
        <w:rPr>
          <w:sz w:val="21"/>
          <w:szCs w:val="21"/>
          <w:lang w:val="en-GB"/>
        </w:rPr>
        <w:t>home</w:t>
      </w:r>
      <w:proofErr w:type="gramEnd"/>
    </w:p>
    <w:p w14:paraId="5A4B50FC" w14:textId="289AA587" w:rsidR="003E23E6" w:rsidRPr="00C62F2E" w:rsidRDefault="00330CD6" w:rsidP="00330CD6">
      <w:pPr>
        <w:pStyle w:val="Heading3"/>
        <w:rPr>
          <w:sz w:val="21"/>
          <w:szCs w:val="21"/>
          <w:lang w:val="en-GB"/>
        </w:rPr>
      </w:pPr>
      <w:r w:rsidRPr="00C62F2E">
        <w:rPr>
          <w:sz w:val="21"/>
          <w:szCs w:val="21"/>
          <w:lang w:val="en-GB"/>
        </w:rPr>
        <w:t xml:space="preserve">Individual mobility and collective immobility </w:t>
      </w:r>
    </w:p>
    <w:p w14:paraId="166EC537" w14:textId="2A8103E4" w:rsidR="003E23E6" w:rsidRPr="00C62F2E" w:rsidRDefault="003E23E6" w:rsidP="003E23E6">
      <w:pPr>
        <w:pStyle w:val="Heading2"/>
        <w:rPr>
          <w:sz w:val="22"/>
          <w:szCs w:val="22"/>
          <w:lang w:val="en-GB"/>
        </w:rPr>
      </w:pPr>
      <w:r w:rsidRPr="00C62F2E">
        <w:rPr>
          <w:sz w:val="22"/>
          <w:szCs w:val="22"/>
          <w:lang w:val="en-GB"/>
        </w:rPr>
        <w:t xml:space="preserve">Home as identity </w:t>
      </w:r>
    </w:p>
    <w:p w14:paraId="32909783" w14:textId="7E269457" w:rsidR="003E23E6" w:rsidRPr="00C62F2E" w:rsidRDefault="003E23E6" w:rsidP="003E23E6">
      <w:pPr>
        <w:pStyle w:val="Heading3"/>
        <w:rPr>
          <w:sz w:val="21"/>
          <w:szCs w:val="20"/>
          <w:lang w:val="en-GB"/>
        </w:rPr>
      </w:pPr>
      <w:r w:rsidRPr="00C62F2E">
        <w:rPr>
          <w:sz w:val="20"/>
          <w:szCs w:val="21"/>
          <w:lang w:val="en-GB"/>
        </w:rPr>
        <w:t xml:space="preserve">The affective </w:t>
      </w:r>
      <w:r w:rsidRPr="00C62F2E">
        <w:rPr>
          <w:sz w:val="21"/>
          <w:szCs w:val="21"/>
          <w:lang w:val="en-GB"/>
        </w:rPr>
        <w:t>home</w:t>
      </w:r>
      <w:r w:rsidR="00F94CDF">
        <w:rPr>
          <w:sz w:val="21"/>
          <w:szCs w:val="21"/>
          <w:lang w:val="en-GB"/>
        </w:rPr>
        <w:t>-space: Yarmouk – the diaspora capital [</w:t>
      </w:r>
      <w:proofErr w:type="spellStart"/>
      <w:r w:rsidR="00F94CDF">
        <w:rPr>
          <w:sz w:val="21"/>
          <w:szCs w:val="21"/>
          <w:lang w:val="en-GB"/>
        </w:rPr>
        <w:t>asimat</w:t>
      </w:r>
      <w:proofErr w:type="spellEnd"/>
      <w:r w:rsidR="00F94CDF">
        <w:rPr>
          <w:sz w:val="21"/>
          <w:szCs w:val="21"/>
          <w:lang w:val="en-GB"/>
        </w:rPr>
        <w:t xml:space="preserve"> al-</w:t>
      </w:r>
      <w:proofErr w:type="spellStart"/>
      <w:r w:rsidR="00F94CDF">
        <w:rPr>
          <w:sz w:val="21"/>
          <w:szCs w:val="21"/>
          <w:lang w:val="en-GB"/>
        </w:rPr>
        <w:t>shatat</w:t>
      </w:r>
      <w:proofErr w:type="spellEnd"/>
      <w:r w:rsidR="00F94CDF">
        <w:rPr>
          <w:sz w:val="21"/>
          <w:szCs w:val="21"/>
          <w:lang w:val="en-GB"/>
        </w:rPr>
        <w:t>]</w:t>
      </w:r>
      <w:r w:rsidRPr="00C62F2E">
        <w:rPr>
          <w:sz w:val="21"/>
          <w:szCs w:val="21"/>
          <w:lang w:val="en-GB"/>
        </w:rPr>
        <w:t xml:space="preserve"> </w:t>
      </w:r>
    </w:p>
    <w:p w14:paraId="63309703" w14:textId="4F7BF387" w:rsidR="003E23E6" w:rsidRPr="00C62F2E" w:rsidRDefault="003E23E6" w:rsidP="003E23E6">
      <w:pPr>
        <w:pStyle w:val="Heading3"/>
        <w:rPr>
          <w:sz w:val="21"/>
          <w:szCs w:val="21"/>
          <w:lang w:val="en-GB"/>
        </w:rPr>
      </w:pPr>
      <w:r w:rsidRPr="00C62F2E">
        <w:rPr>
          <w:sz w:val="20"/>
          <w:szCs w:val="20"/>
          <w:lang w:val="en-GB"/>
        </w:rPr>
        <w:t xml:space="preserve">The </w:t>
      </w:r>
      <w:r w:rsidR="00C902F5" w:rsidRPr="00C62F2E">
        <w:rPr>
          <w:sz w:val="21"/>
          <w:szCs w:val="21"/>
          <w:lang w:val="en-GB"/>
        </w:rPr>
        <w:t>lost home-space</w:t>
      </w:r>
      <w:r w:rsidR="00F94CDF">
        <w:rPr>
          <w:sz w:val="21"/>
          <w:szCs w:val="21"/>
          <w:lang w:val="en-GB"/>
        </w:rPr>
        <w:t xml:space="preserve"> and the right to return</w:t>
      </w:r>
    </w:p>
    <w:p w14:paraId="547E09A5" w14:textId="3BF7F7BB" w:rsidR="003E23E6" w:rsidRPr="00F94CDF" w:rsidRDefault="00C902F5" w:rsidP="00F94CDF">
      <w:pPr>
        <w:pStyle w:val="Heading3"/>
        <w:rPr>
          <w:sz w:val="21"/>
          <w:szCs w:val="21"/>
          <w:lang w:val="en-GB"/>
        </w:rPr>
      </w:pPr>
      <w:r w:rsidRPr="00F94CDF">
        <w:rPr>
          <w:sz w:val="21"/>
          <w:szCs w:val="21"/>
          <w:lang w:val="en-GB"/>
        </w:rPr>
        <w:t>The ongoing Nakba</w:t>
      </w:r>
    </w:p>
    <w:p w14:paraId="2917617B" w14:textId="77777777" w:rsidR="003E23E6" w:rsidRPr="00C62F2E" w:rsidRDefault="003E23E6" w:rsidP="003E23E6">
      <w:pPr>
        <w:pStyle w:val="Heading2"/>
        <w:rPr>
          <w:sz w:val="20"/>
          <w:szCs w:val="22"/>
          <w:lang w:val="en-GB"/>
        </w:rPr>
      </w:pPr>
      <w:r w:rsidRPr="00C62F2E">
        <w:rPr>
          <w:sz w:val="22"/>
          <w:szCs w:val="22"/>
          <w:lang w:val="en-GB"/>
        </w:rPr>
        <w:t>Discussion and Conclusion</w:t>
      </w:r>
    </w:p>
    <w:p w14:paraId="4A24B1A4" w14:textId="77777777" w:rsidR="003E23E6" w:rsidRPr="00C62F2E" w:rsidRDefault="003E23E6" w:rsidP="003E23E6">
      <w:pPr>
        <w:pStyle w:val="ListParagraph"/>
        <w:spacing w:line="240" w:lineRule="auto"/>
        <w:ind w:left="360"/>
        <w:rPr>
          <w:bCs/>
          <w:sz w:val="21"/>
          <w:szCs w:val="20"/>
          <w:lang w:val="en-GB"/>
        </w:rPr>
      </w:pPr>
    </w:p>
    <w:p w14:paraId="1F1B6104" w14:textId="1D30EB4B" w:rsidR="0077058F" w:rsidRPr="00C62F2E" w:rsidRDefault="003E23E6" w:rsidP="003E23E6">
      <w:pPr>
        <w:pStyle w:val="Heading1"/>
        <w:rPr>
          <w:sz w:val="22"/>
          <w:szCs w:val="24"/>
          <w:lang w:val="en-GB"/>
        </w:rPr>
      </w:pPr>
      <w:r w:rsidRPr="00C62F2E">
        <w:rPr>
          <w:sz w:val="22"/>
          <w:szCs w:val="24"/>
          <w:lang w:val="en-GB"/>
        </w:rPr>
        <w:t>Beyond territorial spaces</w:t>
      </w:r>
      <w:r w:rsidR="0077058F" w:rsidRPr="00C62F2E">
        <w:rPr>
          <w:sz w:val="22"/>
          <w:szCs w:val="24"/>
          <w:lang w:val="en-GB"/>
        </w:rPr>
        <w:t>: the urban home</w:t>
      </w:r>
      <w:r w:rsidR="00136AF5" w:rsidRPr="00C62F2E">
        <w:rPr>
          <w:sz w:val="22"/>
          <w:szCs w:val="24"/>
          <w:lang w:val="en-GB"/>
        </w:rPr>
        <w:t xml:space="preserve"> (</w:t>
      </w:r>
      <w:r w:rsidR="00136AF5" w:rsidRPr="00C62F2E">
        <w:rPr>
          <w:i/>
          <w:sz w:val="22"/>
          <w:szCs w:val="24"/>
          <w:lang w:val="en-GB"/>
        </w:rPr>
        <w:t>5.000</w:t>
      </w:r>
      <w:r w:rsidR="00136AF5" w:rsidRPr="00C62F2E">
        <w:rPr>
          <w:sz w:val="22"/>
          <w:szCs w:val="24"/>
          <w:lang w:val="en-GB"/>
        </w:rPr>
        <w:t>)</w:t>
      </w:r>
    </w:p>
    <w:p w14:paraId="5C96A5B4" w14:textId="3E300988" w:rsidR="00EC6F61" w:rsidRPr="00C62F2E" w:rsidRDefault="00EC6F61" w:rsidP="003E23E6">
      <w:pPr>
        <w:spacing w:line="240" w:lineRule="auto"/>
        <w:rPr>
          <w:iCs/>
          <w:color w:val="7F7F7F" w:themeColor="text1" w:themeTint="80"/>
          <w:sz w:val="18"/>
          <w:szCs w:val="16"/>
          <w:lang w:val="en-GB"/>
        </w:rPr>
      </w:pPr>
    </w:p>
    <w:sectPr w:rsidR="00EC6F61" w:rsidRPr="00C62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848"/>
    <w:multiLevelType w:val="hybridMultilevel"/>
    <w:tmpl w:val="BB58A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DA4"/>
    <w:multiLevelType w:val="hybridMultilevel"/>
    <w:tmpl w:val="12B88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6EFD"/>
    <w:multiLevelType w:val="hybridMultilevel"/>
    <w:tmpl w:val="FE9094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1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BC5774"/>
    <w:multiLevelType w:val="hybridMultilevel"/>
    <w:tmpl w:val="8C2AC94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D2AE7"/>
    <w:multiLevelType w:val="hybridMultilevel"/>
    <w:tmpl w:val="44501E34"/>
    <w:lvl w:ilvl="0" w:tplc="9C40D6CC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C13FB6"/>
    <w:multiLevelType w:val="hybridMultilevel"/>
    <w:tmpl w:val="E5465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C57"/>
    <w:multiLevelType w:val="multilevel"/>
    <w:tmpl w:val="428EA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B739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5D3F8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F4244"/>
    <w:multiLevelType w:val="multilevel"/>
    <w:tmpl w:val="C24C8608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516971"/>
    <w:multiLevelType w:val="multilevel"/>
    <w:tmpl w:val="CCE62720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FF1C46"/>
    <w:multiLevelType w:val="hybridMultilevel"/>
    <w:tmpl w:val="65F6E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806D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C86C09"/>
    <w:multiLevelType w:val="hybridMultilevel"/>
    <w:tmpl w:val="C26AEF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D558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A074EB"/>
    <w:multiLevelType w:val="multilevel"/>
    <w:tmpl w:val="3F88BEEA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8F0AAB"/>
    <w:multiLevelType w:val="hybridMultilevel"/>
    <w:tmpl w:val="0D6A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66DD"/>
    <w:multiLevelType w:val="hybridMultilevel"/>
    <w:tmpl w:val="448C25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9C32C4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71853F3"/>
    <w:multiLevelType w:val="hybridMultilevel"/>
    <w:tmpl w:val="91620AA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368F1"/>
    <w:multiLevelType w:val="hybridMultilevel"/>
    <w:tmpl w:val="87180F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1393"/>
    <w:multiLevelType w:val="hybridMultilevel"/>
    <w:tmpl w:val="1ADA90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5A2C"/>
    <w:multiLevelType w:val="hybridMultilevel"/>
    <w:tmpl w:val="03147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956A3C"/>
    <w:multiLevelType w:val="hybridMultilevel"/>
    <w:tmpl w:val="DBB09C76"/>
    <w:lvl w:ilvl="0" w:tplc="1B806E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1715F"/>
    <w:multiLevelType w:val="hybridMultilevel"/>
    <w:tmpl w:val="D7961B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2C4ABD"/>
    <w:multiLevelType w:val="hybridMultilevel"/>
    <w:tmpl w:val="F2C4D8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483"/>
    <w:multiLevelType w:val="hybridMultilevel"/>
    <w:tmpl w:val="8B90BE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FC0545"/>
    <w:multiLevelType w:val="hybridMultilevel"/>
    <w:tmpl w:val="979E0F1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12B5E"/>
    <w:multiLevelType w:val="hybridMultilevel"/>
    <w:tmpl w:val="03763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40B0D"/>
    <w:multiLevelType w:val="hybridMultilevel"/>
    <w:tmpl w:val="1DC215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C2243"/>
    <w:multiLevelType w:val="hybridMultilevel"/>
    <w:tmpl w:val="AAFAD7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D36AEA"/>
    <w:multiLevelType w:val="multilevel"/>
    <w:tmpl w:val="428EA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093361"/>
    <w:multiLevelType w:val="hybridMultilevel"/>
    <w:tmpl w:val="785CBC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3AA3"/>
    <w:multiLevelType w:val="hybridMultilevel"/>
    <w:tmpl w:val="3B244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944A9"/>
    <w:multiLevelType w:val="hybridMultilevel"/>
    <w:tmpl w:val="B1D4AA5E"/>
    <w:lvl w:ilvl="0" w:tplc="9C40D6CC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B41E3B"/>
    <w:multiLevelType w:val="multilevel"/>
    <w:tmpl w:val="A2AC48C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B56176"/>
    <w:multiLevelType w:val="hybridMultilevel"/>
    <w:tmpl w:val="5D10A3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44FC6"/>
    <w:multiLevelType w:val="hybridMultilevel"/>
    <w:tmpl w:val="3ADEB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A1BF4"/>
    <w:multiLevelType w:val="hybridMultilevel"/>
    <w:tmpl w:val="17522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0D6C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02A34"/>
    <w:multiLevelType w:val="hybridMultilevel"/>
    <w:tmpl w:val="68E818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A178B"/>
    <w:multiLevelType w:val="hybridMultilevel"/>
    <w:tmpl w:val="A3B04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38"/>
  </w:num>
  <w:num w:numId="5">
    <w:abstractNumId w:val="1"/>
  </w:num>
  <w:num w:numId="6">
    <w:abstractNumId w:val="10"/>
  </w:num>
  <w:num w:numId="7">
    <w:abstractNumId w:val="32"/>
  </w:num>
  <w:num w:numId="8">
    <w:abstractNumId w:val="39"/>
  </w:num>
  <w:num w:numId="9">
    <w:abstractNumId w:val="5"/>
  </w:num>
  <w:num w:numId="10">
    <w:abstractNumId w:val="35"/>
  </w:num>
  <w:num w:numId="11">
    <w:abstractNumId w:val="15"/>
  </w:num>
  <w:num w:numId="12">
    <w:abstractNumId w:val="7"/>
  </w:num>
  <w:num w:numId="13">
    <w:abstractNumId w:val="31"/>
  </w:num>
  <w:num w:numId="14">
    <w:abstractNumId w:val="25"/>
  </w:num>
  <w:num w:numId="15">
    <w:abstractNumId w:val="18"/>
  </w:num>
  <w:num w:numId="16">
    <w:abstractNumId w:val="27"/>
  </w:num>
  <w:num w:numId="17">
    <w:abstractNumId w:val="23"/>
  </w:num>
  <w:num w:numId="18">
    <w:abstractNumId w:val="40"/>
  </w:num>
  <w:num w:numId="19">
    <w:abstractNumId w:val="12"/>
  </w:num>
  <w:num w:numId="20">
    <w:abstractNumId w:val="34"/>
  </w:num>
  <w:num w:numId="21">
    <w:abstractNumId w:val="33"/>
  </w:num>
  <w:num w:numId="22">
    <w:abstractNumId w:val="22"/>
  </w:num>
  <w:num w:numId="23">
    <w:abstractNumId w:val="24"/>
  </w:num>
  <w:num w:numId="24">
    <w:abstractNumId w:val="20"/>
  </w:num>
  <w:num w:numId="25">
    <w:abstractNumId w:val="30"/>
  </w:num>
  <w:num w:numId="26">
    <w:abstractNumId w:val="11"/>
  </w:num>
  <w:num w:numId="27">
    <w:abstractNumId w:val="16"/>
  </w:num>
  <w:num w:numId="28">
    <w:abstractNumId w:val="28"/>
  </w:num>
  <w:num w:numId="29">
    <w:abstractNumId w:val="21"/>
  </w:num>
  <w:num w:numId="30">
    <w:abstractNumId w:val="14"/>
  </w:num>
  <w:num w:numId="31">
    <w:abstractNumId w:val="4"/>
  </w:num>
  <w:num w:numId="32">
    <w:abstractNumId w:val="37"/>
  </w:num>
  <w:num w:numId="33">
    <w:abstractNumId w:val="29"/>
  </w:num>
  <w:num w:numId="34">
    <w:abstractNumId w:val="26"/>
  </w:num>
  <w:num w:numId="35">
    <w:abstractNumId w:val="17"/>
  </w:num>
  <w:num w:numId="36">
    <w:abstractNumId w:val="41"/>
  </w:num>
  <w:num w:numId="37">
    <w:abstractNumId w:val="6"/>
  </w:num>
  <w:num w:numId="38">
    <w:abstractNumId w:val="3"/>
  </w:num>
  <w:num w:numId="39">
    <w:abstractNumId w:val="19"/>
  </w:num>
  <w:num w:numId="40">
    <w:abstractNumId w:val="8"/>
  </w:num>
  <w:num w:numId="41">
    <w:abstractNumId w:val="9"/>
  </w:num>
  <w:num w:numId="42">
    <w:abstractNumId w:val="3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CE"/>
    <w:rsid w:val="0000311C"/>
    <w:rsid w:val="00005ED9"/>
    <w:rsid w:val="0003165C"/>
    <w:rsid w:val="0003765B"/>
    <w:rsid w:val="00050ADE"/>
    <w:rsid w:val="00050FB2"/>
    <w:rsid w:val="00052766"/>
    <w:rsid w:val="000676D0"/>
    <w:rsid w:val="00074722"/>
    <w:rsid w:val="000802EE"/>
    <w:rsid w:val="000A119C"/>
    <w:rsid w:val="000A65AF"/>
    <w:rsid w:val="000B330F"/>
    <w:rsid w:val="000B387D"/>
    <w:rsid w:val="000E0BAC"/>
    <w:rsid w:val="0011316F"/>
    <w:rsid w:val="0011516B"/>
    <w:rsid w:val="00124BE5"/>
    <w:rsid w:val="00136AF5"/>
    <w:rsid w:val="001429B7"/>
    <w:rsid w:val="0014546C"/>
    <w:rsid w:val="00161CB7"/>
    <w:rsid w:val="0016215C"/>
    <w:rsid w:val="00170ACE"/>
    <w:rsid w:val="001872A8"/>
    <w:rsid w:val="001872FC"/>
    <w:rsid w:val="00194739"/>
    <w:rsid w:val="001B145C"/>
    <w:rsid w:val="001C0A6A"/>
    <w:rsid w:val="001C4AF2"/>
    <w:rsid w:val="001C4C92"/>
    <w:rsid w:val="001D5B16"/>
    <w:rsid w:val="001E74C8"/>
    <w:rsid w:val="001F3796"/>
    <w:rsid w:val="0021262F"/>
    <w:rsid w:val="0022615A"/>
    <w:rsid w:val="00255F80"/>
    <w:rsid w:val="0025638E"/>
    <w:rsid w:val="00256475"/>
    <w:rsid w:val="002658C3"/>
    <w:rsid w:val="00265C33"/>
    <w:rsid w:val="0027174E"/>
    <w:rsid w:val="0028052C"/>
    <w:rsid w:val="00285285"/>
    <w:rsid w:val="002932B1"/>
    <w:rsid w:val="00293325"/>
    <w:rsid w:val="00294F71"/>
    <w:rsid w:val="002A2FC1"/>
    <w:rsid w:val="002C67AC"/>
    <w:rsid w:val="002D7BF3"/>
    <w:rsid w:val="002D7EA2"/>
    <w:rsid w:val="002E4945"/>
    <w:rsid w:val="00311A2E"/>
    <w:rsid w:val="00330CD6"/>
    <w:rsid w:val="003341E0"/>
    <w:rsid w:val="00334C00"/>
    <w:rsid w:val="00342552"/>
    <w:rsid w:val="0034552E"/>
    <w:rsid w:val="00351DFD"/>
    <w:rsid w:val="00355A7E"/>
    <w:rsid w:val="00362B7A"/>
    <w:rsid w:val="003916DA"/>
    <w:rsid w:val="003B773C"/>
    <w:rsid w:val="003C551F"/>
    <w:rsid w:val="003D12B3"/>
    <w:rsid w:val="003D571F"/>
    <w:rsid w:val="003E0D76"/>
    <w:rsid w:val="003E23E6"/>
    <w:rsid w:val="003E3989"/>
    <w:rsid w:val="003F7ACA"/>
    <w:rsid w:val="004171A9"/>
    <w:rsid w:val="00426250"/>
    <w:rsid w:val="004375EF"/>
    <w:rsid w:val="0045440F"/>
    <w:rsid w:val="00464624"/>
    <w:rsid w:val="00464EE4"/>
    <w:rsid w:val="0047069D"/>
    <w:rsid w:val="00484327"/>
    <w:rsid w:val="0048538F"/>
    <w:rsid w:val="0049430B"/>
    <w:rsid w:val="004A1771"/>
    <w:rsid w:val="004B37FB"/>
    <w:rsid w:val="004C0123"/>
    <w:rsid w:val="004C32D1"/>
    <w:rsid w:val="004D3C65"/>
    <w:rsid w:val="004E6B79"/>
    <w:rsid w:val="004F60E9"/>
    <w:rsid w:val="005053CE"/>
    <w:rsid w:val="005110EE"/>
    <w:rsid w:val="0055148A"/>
    <w:rsid w:val="0055248C"/>
    <w:rsid w:val="00556605"/>
    <w:rsid w:val="0058340D"/>
    <w:rsid w:val="00594772"/>
    <w:rsid w:val="00596BB2"/>
    <w:rsid w:val="005B2473"/>
    <w:rsid w:val="005C1F79"/>
    <w:rsid w:val="005E295E"/>
    <w:rsid w:val="00610163"/>
    <w:rsid w:val="00613866"/>
    <w:rsid w:val="0064544B"/>
    <w:rsid w:val="00655A35"/>
    <w:rsid w:val="00670A69"/>
    <w:rsid w:val="00670D3C"/>
    <w:rsid w:val="00673B49"/>
    <w:rsid w:val="006928E6"/>
    <w:rsid w:val="006960CE"/>
    <w:rsid w:val="006A3253"/>
    <w:rsid w:val="006A75EA"/>
    <w:rsid w:val="006B2192"/>
    <w:rsid w:val="006C59F7"/>
    <w:rsid w:val="006D2DC9"/>
    <w:rsid w:val="006D615D"/>
    <w:rsid w:val="006F0EC2"/>
    <w:rsid w:val="006F6DD4"/>
    <w:rsid w:val="0070664D"/>
    <w:rsid w:val="007250CC"/>
    <w:rsid w:val="00750597"/>
    <w:rsid w:val="0077058F"/>
    <w:rsid w:val="0077249C"/>
    <w:rsid w:val="0077352A"/>
    <w:rsid w:val="00775B56"/>
    <w:rsid w:val="007831CC"/>
    <w:rsid w:val="007A6851"/>
    <w:rsid w:val="007B165D"/>
    <w:rsid w:val="007C3924"/>
    <w:rsid w:val="007D0D80"/>
    <w:rsid w:val="007E36FD"/>
    <w:rsid w:val="007F592C"/>
    <w:rsid w:val="00802750"/>
    <w:rsid w:val="0081027F"/>
    <w:rsid w:val="00812080"/>
    <w:rsid w:val="00817509"/>
    <w:rsid w:val="00823A48"/>
    <w:rsid w:val="008438FE"/>
    <w:rsid w:val="008575F3"/>
    <w:rsid w:val="00866E13"/>
    <w:rsid w:val="00875FA0"/>
    <w:rsid w:val="008816C8"/>
    <w:rsid w:val="008E5608"/>
    <w:rsid w:val="00921ECD"/>
    <w:rsid w:val="00923ABF"/>
    <w:rsid w:val="0093076E"/>
    <w:rsid w:val="009376B6"/>
    <w:rsid w:val="00950481"/>
    <w:rsid w:val="00960CC9"/>
    <w:rsid w:val="00966971"/>
    <w:rsid w:val="00966A14"/>
    <w:rsid w:val="009722D7"/>
    <w:rsid w:val="00974BD6"/>
    <w:rsid w:val="0098192A"/>
    <w:rsid w:val="00987AB6"/>
    <w:rsid w:val="0099021A"/>
    <w:rsid w:val="0099711C"/>
    <w:rsid w:val="009A30FE"/>
    <w:rsid w:val="009A46D9"/>
    <w:rsid w:val="009A62CA"/>
    <w:rsid w:val="009B1E48"/>
    <w:rsid w:val="009B57F0"/>
    <w:rsid w:val="009B6FEC"/>
    <w:rsid w:val="009C4809"/>
    <w:rsid w:val="009C4C76"/>
    <w:rsid w:val="009C7BDB"/>
    <w:rsid w:val="009E71DA"/>
    <w:rsid w:val="009F0E3B"/>
    <w:rsid w:val="00A030FB"/>
    <w:rsid w:val="00A0400C"/>
    <w:rsid w:val="00A12387"/>
    <w:rsid w:val="00A331EF"/>
    <w:rsid w:val="00A3457B"/>
    <w:rsid w:val="00A36A4A"/>
    <w:rsid w:val="00A42404"/>
    <w:rsid w:val="00A745BC"/>
    <w:rsid w:val="00A8419A"/>
    <w:rsid w:val="00B03A04"/>
    <w:rsid w:val="00B07523"/>
    <w:rsid w:val="00B079EC"/>
    <w:rsid w:val="00B100D3"/>
    <w:rsid w:val="00B11D21"/>
    <w:rsid w:val="00B311D7"/>
    <w:rsid w:val="00B32706"/>
    <w:rsid w:val="00B4084F"/>
    <w:rsid w:val="00B47111"/>
    <w:rsid w:val="00BB7855"/>
    <w:rsid w:val="00BC5352"/>
    <w:rsid w:val="00BC5A06"/>
    <w:rsid w:val="00BE115E"/>
    <w:rsid w:val="00C02C53"/>
    <w:rsid w:val="00C032D4"/>
    <w:rsid w:val="00C06928"/>
    <w:rsid w:val="00C22564"/>
    <w:rsid w:val="00C23106"/>
    <w:rsid w:val="00C55198"/>
    <w:rsid w:val="00C62F2E"/>
    <w:rsid w:val="00C74FDD"/>
    <w:rsid w:val="00C7716F"/>
    <w:rsid w:val="00C80183"/>
    <w:rsid w:val="00C87993"/>
    <w:rsid w:val="00C902F5"/>
    <w:rsid w:val="00CA4A44"/>
    <w:rsid w:val="00CC29F5"/>
    <w:rsid w:val="00CC5EC7"/>
    <w:rsid w:val="00CD1E81"/>
    <w:rsid w:val="00CD35CB"/>
    <w:rsid w:val="00D04431"/>
    <w:rsid w:val="00D04527"/>
    <w:rsid w:val="00D2592A"/>
    <w:rsid w:val="00D3753B"/>
    <w:rsid w:val="00D408A5"/>
    <w:rsid w:val="00D538D7"/>
    <w:rsid w:val="00D6501E"/>
    <w:rsid w:val="00D7641D"/>
    <w:rsid w:val="00D80B88"/>
    <w:rsid w:val="00D8219C"/>
    <w:rsid w:val="00D928F4"/>
    <w:rsid w:val="00D93386"/>
    <w:rsid w:val="00DA3550"/>
    <w:rsid w:val="00DA6101"/>
    <w:rsid w:val="00DC2396"/>
    <w:rsid w:val="00DC422A"/>
    <w:rsid w:val="00DD03A1"/>
    <w:rsid w:val="00DD0A85"/>
    <w:rsid w:val="00DF58C3"/>
    <w:rsid w:val="00E15853"/>
    <w:rsid w:val="00E211FE"/>
    <w:rsid w:val="00E5069F"/>
    <w:rsid w:val="00E5773A"/>
    <w:rsid w:val="00E67148"/>
    <w:rsid w:val="00E90CE0"/>
    <w:rsid w:val="00EA5B29"/>
    <w:rsid w:val="00EC223A"/>
    <w:rsid w:val="00EC2410"/>
    <w:rsid w:val="00EC6308"/>
    <w:rsid w:val="00EC6F61"/>
    <w:rsid w:val="00EE32B3"/>
    <w:rsid w:val="00F052B7"/>
    <w:rsid w:val="00F07691"/>
    <w:rsid w:val="00F1753A"/>
    <w:rsid w:val="00F1784A"/>
    <w:rsid w:val="00F35725"/>
    <w:rsid w:val="00F44721"/>
    <w:rsid w:val="00F463A2"/>
    <w:rsid w:val="00F84D87"/>
    <w:rsid w:val="00F94CDF"/>
    <w:rsid w:val="00FA3B9E"/>
    <w:rsid w:val="00FB4AFE"/>
    <w:rsid w:val="00FC16B3"/>
    <w:rsid w:val="00FE1025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16CD"/>
  <w15:chartTrackingRefBased/>
  <w15:docId w15:val="{E068DCE0-D349-4880-97A7-DE091011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E6"/>
    <w:pPr>
      <w:keepNext/>
      <w:keepLines/>
      <w:numPr>
        <w:numId w:val="42"/>
      </w:numPr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3E6"/>
    <w:pPr>
      <w:keepNext/>
      <w:keepLines/>
      <w:numPr>
        <w:ilvl w:val="1"/>
        <w:numId w:val="42"/>
      </w:numPr>
      <w:spacing w:before="40" w:after="0"/>
      <w:ind w:left="1284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3E6"/>
    <w:pPr>
      <w:keepNext/>
      <w:keepLines/>
      <w:numPr>
        <w:ilvl w:val="2"/>
        <w:numId w:val="42"/>
      </w:numPr>
      <w:spacing w:before="40" w:after="0"/>
      <w:ind w:left="2136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23E6"/>
    <w:pPr>
      <w:keepNext/>
      <w:keepLines/>
      <w:numPr>
        <w:ilvl w:val="3"/>
        <w:numId w:val="42"/>
      </w:numPr>
      <w:spacing w:before="40" w:after="0"/>
      <w:ind w:left="3696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E6"/>
    <w:pPr>
      <w:keepNext/>
      <w:keepLines/>
      <w:numPr>
        <w:ilvl w:val="4"/>
        <w:numId w:val="4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E6"/>
    <w:pPr>
      <w:keepNext/>
      <w:keepLines/>
      <w:numPr>
        <w:ilvl w:val="5"/>
        <w:numId w:val="4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E6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E6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E6"/>
    <w:pPr>
      <w:keepNext/>
      <w:keepLines/>
      <w:numPr>
        <w:ilvl w:val="8"/>
        <w:numId w:val="4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23E6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23E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23E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23E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E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AAC5-7453-D04B-A410-CB0A2B81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Ruhr-Universität Bochum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Jasmin</dc:creator>
  <cp:keywords/>
  <dc:description/>
  <cp:lastModifiedBy>Jasmin Fritzsche-El-Shewy</cp:lastModifiedBy>
  <cp:revision>90</cp:revision>
  <cp:lastPrinted>2018-08-20T10:12:00Z</cp:lastPrinted>
  <dcterms:created xsi:type="dcterms:W3CDTF">2019-10-07T09:29:00Z</dcterms:created>
  <dcterms:modified xsi:type="dcterms:W3CDTF">2020-11-13T15:51:00Z</dcterms:modified>
</cp:coreProperties>
</file>