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A133" w14:textId="77777777" w:rsidR="00EC1A8D" w:rsidRPr="0014612D" w:rsidRDefault="00EC1A8D" w:rsidP="00EC1A8D">
      <w:pPr>
        <w:rPr>
          <w:rFonts w:cs="Times New Roman"/>
          <w:u w:val="single"/>
        </w:rPr>
      </w:pPr>
      <w:r w:rsidRPr="0014612D">
        <w:rPr>
          <w:rFonts w:cs="Times New Roman"/>
          <w:u w:val="single"/>
        </w:rPr>
        <w:t>Paper Outline</w:t>
      </w:r>
    </w:p>
    <w:p w14:paraId="741EE03D" w14:textId="77777777" w:rsidR="00EC1A8D" w:rsidRPr="0014612D" w:rsidRDefault="00EC1A8D" w:rsidP="00EC1A8D">
      <w:pPr>
        <w:rPr>
          <w:rFonts w:cs="Times New Roman"/>
        </w:rPr>
      </w:pPr>
    </w:p>
    <w:p w14:paraId="5F8D85A2" w14:textId="77777777" w:rsidR="00EC1A8D" w:rsidRPr="0014612D" w:rsidRDefault="00EC1A8D" w:rsidP="00EC1A8D">
      <w:pPr>
        <w:rPr>
          <w:rFonts w:cs="Times New Roman"/>
          <w:b/>
          <w:bCs/>
        </w:rPr>
      </w:pPr>
      <w:r w:rsidRPr="0014612D">
        <w:rPr>
          <w:rFonts w:cs="Times New Roman"/>
          <w:b/>
          <w:bCs/>
        </w:rPr>
        <w:t xml:space="preserve">Individual Mobility and Collective Immobility – Border Politics and the conception of belonging of Palestinian refugees from Syria </w:t>
      </w:r>
    </w:p>
    <w:p w14:paraId="534C9342" w14:textId="77777777" w:rsidR="00EC1A8D" w:rsidRPr="0014612D" w:rsidRDefault="00EC1A8D" w:rsidP="00EC1A8D">
      <w:pPr>
        <w:rPr>
          <w:rFonts w:cs="Times New Roman"/>
        </w:rPr>
      </w:pPr>
    </w:p>
    <w:tbl>
      <w:tblPr>
        <w:tblStyle w:val="TableGrid"/>
        <w:tblW w:w="0" w:type="auto"/>
        <w:tblLook w:val="04A0" w:firstRow="1" w:lastRow="0" w:firstColumn="1" w:lastColumn="0" w:noHBand="0" w:noVBand="1"/>
      </w:tblPr>
      <w:tblGrid>
        <w:gridCol w:w="9056"/>
      </w:tblGrid>
      <w:tr w:rsidR="00EC1A8D" w:rsidRPr="0014612D" w14:paraId="23943C84" w14:textId="77777777" w:rsidTr="00B50CA0">
        <w:tc>
          <w:tcPr>
            <w:tcW w:w="9056" w:type="dxa"/>
          </w:tcPr>
          <w:p w14:paraId="3BBA2B09" w14:textId="77777777" w:rsidR="00EC1A8D" w:rsidRPr="0014612D" w:rsidRDefault="00EC1A8D" w:rsidP="00B50CA0">
            <w:pPr>
              <w:rPr>
                <w:rFonts w:cs="Times New Roman"/>
              </w:rPr>
            </w:pPr>
            <w:r w:rsidRPr="0014612D">
              <w:rPr>
                <w:rFonts w:cs="Times New Roman"/>
              </w:rPr>
              <w:t>Journal Requirements (Journal for Refugee Studies)</w:t>
            </w:r>
          </w:p>
          <w:p w14:paraId="7011CCDC" w14:textId="77777777" w:rsidR="00EC1A8D" w:rsidRPr="0014612D" w:rsidRDefault="00EC1A8D" w:rsidP="00B50CA0">
            <w:pPr>
              <w:rPr>
                <w:rFonts w:cs="Times New Roman"/>
              </w:rPr>
            </w:pPr>
            <w:r w:rsidRPr="0014612D">
              <w:rPr>
                <w:rFonts w:cs="Times New Roman"/>
              </w:rPr>
              <w:t>Max 8.000 words</w:t>
            </w:r>
          </w:p>
          <w:p w14:paraId="75ED16E5" w14:textId="77777777" w:rsidR="00EC1A8D" w:rsidRPr="0014612D" w:rsidRDefault="00EC1A8D" w:rsidP="00B50CA0">
            <w:pPr>
              <w:rPr>
                <w:rFonts w:cs="Times New Roman"/>
              </w:rPr>
            </w:pPr>
            <w:r w:rsidRPr="0014612D">
              <w:rPr>
                <w:rFonts w:cs="Times New Roman"/>
              </w:rPr>
              <w:t>Please ensure that you list at least three recommended reviewers when you submit your paper</w:t>
            </w:r>
          </w:p>
        </w:tc>
      </w:tr>
    </w:tbl>
    <w:p w14:paraId="08E24808" w14:textId="77777777" w:rsidR="00EC1A8D" w:rsidRPr="0014612D" w:rsidRDefault="00EC1A8D" w:rsidP="00EC1A8D">
      <w:pPr>
        <w:rPr>
          <w:rFonts w:cs="Times New Roman"/>
        </w:rPr>
      </w:pPr>
    </w:p>
    <w:sdt>
      <w:sdtPr>
        <w:rPr>
          <w:rFonts w:ascii="Times New Roman" w:eastAsiaTheme="minorHAnsi" w:hAnsi="Times New Roman" w:cstheme="minorBidi"/>
          <w:b w:val="0"/>
          <w:bCs w:val="0"/>
          <w:color w:val="auto"/>
          <w:sz w:val="24"/>
          <w:szCs w:val="24"/>
          <w:lang w:val="en-GB"/>
        </w:rPr>
        <w:id w:val="2069290230"/>
        <w:docPartObj>
          <w:docPartGallery w:val="Table of Contents"/>
          <w:docPartUnique/>
        </w:docPartObj>
      </w:sdtPr>
      <w:sdtEndPr>
        <w:rPr>
          <w:noProof/>
        </w:rPr>
      </w:sdtEndPr>
      <w:sdtContent>
        <w:p w14:paraId="12A1E8A0" w14:textId="29A7B8C2" w:rsidR="00E27CFA" w:rsidRPr="0014612D" w:rsidRDefault="00E27CFA">
          <w:pPr>
            <w:pStyle w:val="TOCHeading"/>
            <w:rPr>
              <w:lang w:val="en-GB"/>
            </w:rPr>
          </w:pPr>
          <w:r w:rsidRPr="0014612D">
            <w:rPr>
              <w:lang w:val="en-GB"/>
            </w:rPr>
            <w:t>Table of Contents</w:t>
          </w:r>
        </w:p>
        <w:p w14:paraId="409A1F30" w14:textId="006B3DCC" w:rsidR="00E27CFA" w:rsidRPr="0014612D" w:rsidRDefault="00E27CFA">
          <w:pPr>
            <w:pStyle w:val="TOC1"/>
            <w:tabs>
              <w:tab w:val="right" w:leader="dot" w:pos="9056"/>
            </w:tabs>
            <w:rPr>
              <w:rFonts w:eastAsiaTheme="minorEastAsia" w:cstheme="minorBidi"/>
              <w:b w:val="0"/>
              <w:bCs w:val="0"/>
              <w:caps/>
              <w:noProof/>
              <w:lang w:eastAsia="en-GB"/>
            </w:rPr>
          </w:pPr>
          <w:r w:rsidRPr="0014612D">
            <w:rPr>
              <w:b w:val="0"/>
              <w:bCs w:val="0"/>
            </w:rPr>
            <w:fldChar w:fldCharType="begin"/>
          </w:r>
          <w:r w:rsidRPr="0014612D">
            <w:instrText xml:space="preserve"> TOC \o "1-3" \h \z \u </w:instrText>
          </w:r>
          <w:r w:rsidRPr="0014612D">
            <w:rPr>
              <w:b w:val="0"/>
              <w:bCs w:val="0"/>
            </w:rPr>
            <w:fldChar w:fldCharType="separate"/>
          </w:r>
          <w:hyperlink w:anchor="_Toc31897545" w:history="1">
            <w:r w:rsidRPr="0014612D">
              <w:rPr>
                <w:rStyle w:val="Hyperlink"/>
                <w:noProof/>
              </w:rPr>
              <w:t>Introduction (2000 words)</w:t>
            </w:r>
            <w:r w:rsidRPr="0014612D">
              <w:rPr>
                <w:noProof/>
                <w:webHidden/>
              </w:rPr>
              <w:tab/>
            </w:r>
            <w:r w:rsidRPr="0014612D">
              <w:rPr>
                <w:noProof/>
                <w:webHidden/>
              </w:rPr>
              <w:fldChar w:fldCharType="begin"/>
            </w:r>
            <w:r w:rsidRPr="0014612D">
              <w:rPr>
                <w:noProof/>
                <w:webHidden/>
              </w:rPr>
              <w:instrText xml:space="preserve"> PAGEREF _Toc31897545 \h </w:instrText>
            </w:r>
            <w:r w:rsidRPr="0014612D">
              <w:rPr>
                <w:noProof/>
                <w:webHidden/>
              </w:rPr>
            </w:r>
            <w:r w:rsidRPr="0014612D">
              <w:rPr>
                <w:noProof/>
                <w:webHidden/>
              </w:rPr>
              <w:fldChar w:fldCharType="separate"/>
            </w:r>
            <w:r w:rsidRPr="0014612D">
              <w:rPr>
                <w:noProof/>
                <w:webHidden/>
              </w:rPr>
              <w:t>2</w:t>
            </w:r>
            <w:r w:rsidRPr="0014612D">
              <w:rPr>
                <w:noProof/>
                <w:webHidden/>
              </w:rPr>
              <w:fldChar w:fldCharType="end"/>
            </w:r>
          </w:hyperlink>
        </w:p>
        <w:p w14:paraId="73AB5864" w14:textId="1B95174F" w:rsidR="00E27CFA" w:rsidRPr="0014612D" w:rsidRDefault="00452158">
          <w:pPr>
            <w:pStyle w:val="TOC1"/>
            <w:tabs>
              <w:tab w:val="right" w:leader="dot" w:pos="9056"/>
            </w:tabs>
            <w:rPr>
              <w:rFonts w:eastAsiaTheme="minorEastAsia" w:cstheme="minorBidi"/>
              <w:b w:val="0"/>
              <w:bCs w:val="0"/>
              <w:caps/>
              <w:noProof/>
              <w:lang w:eastAsia="en-GB"/>
            </w:rPr>
          </w:pPr>
          <w:hyperlink w:anchor="_Toc31897546" w:history="1">
            <w:r w:rsidR="00E27CFA" w:rsidRPr="0014612D">
              <w:rPr>
                <w:rStyle w:val="Hyperlink"/>
                <w:noProof/>
              </w:rPr>
              <w:t>Palestinians in Syria</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_Toc31897546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0F6ADA02" w14:textId="3440030C" w:rsidR="00E27CFA" w:rsidRPr="0014612D" w:rsidRDefault="00452158">
          <w:pPr>
            <w:pStyle w:val="TOC1"/>
            <w:tabs>
              <w:tab w:val="right" w:leader="dot" w:pos="9056"/>
            </w:tabs>
            <w:rPr>
              <w:rFonts w:eastAsiaTheme="minorEastAsia" w:cstheme="minorBidi"/>
              <w:b w:val="0"/>
              <w:bCs w:val="0"/>
              <w:caps/>
              <w:noProof/>
              <w:lang w:eastAsia="en-GB"/>
            </w:rPr>
          </w:pPr>
          <w:hyperlink w:anchor="_Toc31897547" w:history="1">
            <w:r w:rsidR="00E27CFA" w:rsidRPr="0014612D">
              <w:rPr>
                <w:rStyle w:val="Hyperlink"/>
                <w:noProof/>
              </w:rPr>
              <w:t>The Syrian war and Palestinian refugees</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_Toc31897547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113A44F0" w14:textId="3F8E9EFF" w:rsidR="00E27CFA" w:rsidRPr="0014612D" w:rsidRDefault="00452158">
          <w:pPr>
            <w:pStyle w:val="TOC1"/>
            <w:tabs>
              <w:tab w:val="right" w:leader="dot" w:pos="9056"/>
            </w:tabs>
            <w:rPr>
              <w:rFonts w:eastAsiaTheme="minorEastAsia" w:cstheme="minorBidi"/>
              <w:b w:val="0"/>
              <w:bCs w:val="0"/>
              <w:caps/>
              <w:noProof/>
              <w:lang w:eastAsia="en-GB"/>
            </w:rPr>
          </w:pPr>
          <w:hyperlink w:anchor="_Toc31897548" w:history="1">
            <w:r w:rsidR="00E27CFA" w:rsidRPr="0014612D">
              <w:rPr>
                <w:rStyle w:val="Hyperlink"/>
                <w:noProof/>
              </w:rPr>
              <w:t>Methodology (500 words)</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_Toc31897548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0373663C" w14:textId="5BFDC88E" w:rsidR="00E27CFA" w:rsidRPr="0014612D" w:rsidRDefault="00452158">
          <w:pPr>
            <w:pStyle w:val="TOC1"/>
            <w:tabs>
              <w:tab w:val="right" w:leader="dot" w:pos="9056"/>
            </w:tabs>
            <w:rPr>
              <w:rFonts w:eastAsiaTheme="minorEastAsia" w:cstheme="minorBidi"/>
              <w:b w:val="0"/>
              <w:bCs w:val="0"/>
              <w:caps/>
              <w:noProof/>
              <w:lang w:eastAsia="en-GB"/>
            </w:rPr>
          </w:pPr>
          <w:hyperlink w:anchor="_Toc31897549" w:history="1">
            <w:r w:rsidR="00E27CFA" w:rsidRPr="0014612D">
              <w:rPr>
                <w:rStyle w:val="Hyperlink"/>
                <w:noProof/>
              </w:rPr>
              <w:t>Palestinian refugees from Syria: Multiple movements and multiplicity of legal status (2000 words)</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_Toc31897549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7D25C45D" w14:textId="0EE5C055" w:rsidR="00E27CFA" w:rsidRPr="0014612D" w:rsidRDefault="00452158">
          <w:pPr>
            <w:pStyle w:val="TOC1"/>
            <w:tabs>
              <w:tab w:val="right" w:leader="dot" w:pos="9056"/>
            </w:tabs>
            <w:rPr>
              <w:rFonts w:eastAsiaTheme="minorEastAsia" w:cstheme="minorBidi"/>
              <w:b w:val="0"/>
              <w:bCs w:val="0"/>
              <w:caps/>
              <w:noProof/>
              <w:lang w:eastAsia="en-GB"/>
            </w:rPr>
          </w:pPr>
          <w:hyperlink w:anchor="_Toc31897550" w:history="1">
            <w:r w:rsidR="00E27CFA" w:rsidRPr="0014612D">
              <w:rPr>
                <w:rStyle w:val="Hyperlink"/>
                <w:noProof/>
              </w:rPr>
              <w:t>The Border Crossing: Resurfacing of the Palestinian refugee status (3000 words)</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_Toc31897550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2CEB294F" w14:textId="5D73C774" w:rsidR="00E27CFA" w:rsidRPr="0014612D" w:rsidRDefault="00452158">
          <w:pPr>
            <w:pStyle w:val="TOC1"/>
            <w:tabs>
              <w:tab w:val="right" w:leader="dot" w:pos="9056"/>
            </w:tabs>
            <w:rPr>
              <w:rFonts w:eastAsiaTheme="minorEastAsia" w:cstheme="minorBidi"/>
              <w:b w:val="0"/>
              <w:bCs w:val="0"/>
              <w:caps/>
              <w:noProof/>
              <w:lang w:eastAsia="en-GB"/>
            </w:rPr>
          </w:pPr>
          <w:hyperlink w:anchor="_Toc31897551" w:history="1">
            <w:r w:rsidR="00E27CFA" w:rsidRPr="0014612D">
              <w:rPr>
                <w:rStyle w:val="Hyperlink"/>
                <w:noProof/>
              </w:rPr>
              <w:t>Individual mobility</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_Toc31897551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549C898C" w14:textId="7703FDFA" w:rsidR="00E27CFA" w:rsidRPr="0014612D" w:rsidRDefault="00452158">
          <w:pPr>
            <w:pStyle w:val="TOC1"/>
            <w:tabs>
              <w:tab w:val="right" w:leader="dot" w:pos="9056"/>
            </w:tabs>
            <w:rPr>
              <w:rFonts w:eastAsiaTheme="minorEastAsia" w:cstheme="minorBidi"/>
              <w:b w:val="0"/>
              <w:bCs w:val="0"/>
              <w:caps/>
              <w:noProof/>
              <w:lang w:eastAsia="en-GB"/>
            </w:rPr>
          </w:pPr>
          <w:hyperlink w:anchor="_Toc31897552" w:history="1">
            <w:r w:rsidR="00E27CFA" w:rsidRPr="0014612D">
              <w:rPr>
                <w:rStyle w:val="Hyperlink"/>
                <w:noProof/>
              </w:rPr>
              <w:t>Collective immobility</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_Toc31897552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1455B580" w14:textId="0770A8C8" w:rsidR="00E27CFA" w:rsidRPr="0014612D" w:rsidRDefault="00452158">
          <w:pPr>
            <w:pStyle w:val="TOC1"/>
            <w:tabs>
              <w:tab w:val="right" w:leader="dot" w:pos="9056"/>
            </w:tabs>
            <w:rPr>
              <w:rFonts w:eastAsiaTheme="minorEastAsia" w:cstheme="minorBidi"/>
              <w:b w:val="0"/>
              <w:bCs w:val="0"/>
              <w:caps/>
              <w:noProof/>
              <w:lang w:eastAsia="en-GB"/>
            </w:rPr>
          </w:pPr>
          <w:hyperlink w:anchor="_Toc31897553" w:history="1">
            <w:r w:rsidR="00E27CFA" w:rsidRPr="0014612D">
              <w:rPr>
                <w:rStyle w:val="Hyperlink"/>
                <w:noProof/>
              </w:rPr>
              <w:t>Conclusion (500-1000 words)</w:t>
            </w:r>
            <w:r w:rsidR="00E27CFA" w:rsidRPr="0014612D">
              <w:rPr>
                <w:noProof/>
                <w:webHidden/>
              </w:rPr>
              <w:tab/>
            </w:r>
            <w:r w:rsidR="00E27CFA" w:rsidRPr="0014612D">
              <w:rPr>
                <w:noProof/>
                <w:webHidden/>
              </w:rPr>
              <w:fldChar w:fldCharType="begin"/>
            </w:r>
            <w:r w:rsidR="00E27CFA" w:rsidRPr="0014612D">
              <w:rPr>
                <w:noProof/>
                <w:webHidden/>
              </w:rPr>
              <w:instrText xml:space="preserve"> PAGEREF _Toc31897553 \h </w:instrText>
            </w:r>
            <w:r w:rsidR="00E27CFA" w:rsidRPr="0014612D">
              <w:rPr>
                <w:noProof/>
                <w:webHidden/>
              </w:rPr>
            </w:r>
            <w:r w:rsidR="00E27CFA" w:rsidRPr="0014612D">
              <w:rPr>
                <w:noProof/>
                <w:webHidden/>
              </w:rPr>
              <w:fldChar w:fldCharType="separate"/>
            </w:r>
            <w:r w:rsidR="00E27CFA" w:rsidRPr="0014612D">
              <w:rPr>
                <w:noProof/>
                <w:webHidden/>
              </w:rPr>
              <w:t>2</w:t>
            </w:r>
            <w:r w:rsidR="00E27CFA" w:rsidRPr="0014612D">
              <w:rPr>
                <w:noProof/>
                <w:webHidden/>
              </w:rPr>
              <w:fldChar w:fldCharType="end"/>
            </w:r>
          </w:hyperlink>
        </w:p>
        <w:p w14:paraId="686609FB" w14:textId="0807ADEB" w:rsidR="00E27CFA" w:rsidRPr="0014612D" w:rsidRDefault="00E27CFA">
          <w:r w:rsidRPr="0014612D">
            <w:rPr>
              <w:b/>
              <w:bCs/>
              <w:noProof/>
            </w:rPr>
            <w:fldChar w:fldCharType="end"/>
          </w:r>
        </w:p>
      </w:sdtContent>
    </w:sdt>
    <w:p w14:paraId="72B219BE" w14:textId="477FBBF1" w:rsidR="00E27CFA" w:rsidRPr="0014612D" w:rsidRDefault="00E27CFA">
      <w:pPr>
        <w:rPr>
          <w:rFonts w:eastAsiaTheme="majorEastAsia" w:cs="Times New Roman"/>
          <w:b/>
          <w:szCs w:val="32"/>
        </w:rPr>
      </w:pPr>
      <w:r w:rsidRPr="0014612D">
        <w:br w:type="page"/>
      </w:r>
    </w:p>
    <w:p w14:paraId="0A59EA4A" w14:textId="77777777" w:rsidR="00E27CFA" w:rsidRPr="0014612D" w:rsidRDefault="00E27CFA" w:rsidP="00E27CFA">
      <w:pPr>
        <w:pStyle w:val="JRSHeadline1"/>
        <w:rPr>
          <w:lang w:val="en-GB"/>
        </w:rPr>
      </w:pPr>
    </w:p>
    <w:p w14:paraId="14CD5D85" w14:textId="77777777" w:rsidR="00DF2291" w:rsidRPr="00DF2291" w:rsidRDefault="00DF2291" w:rsidP="00DF2291">
      <w:pPr>
        <w:spacing w:before="0"/>
        <w:rPr>
          <w:rFonts w:cs="Times New Roman"/>
          <w:b/>
        </w:rPr>
      </w:pPr>
      <w:r w:rsidRPr="00DF2291">
        <w:rPr>
          <w:rFonts w:cs="Times New Roman"/>
          <w:b/>
        </w:rPr>
        <w:t>Abstract (150 words)</w:t>
      </w:r>
    </w:p>
    <w:p w14:paraId="25897E93" w14:textId="77777777" w:rsidR="00DF2291" w:rsidRPr="00DF2291" w:rsidRDefault="00DF2291" w:rsidP="00DF2291">
      <w:pPr>
        <w:spacing w:before="0"/>
        <w:rPr>
          <w:rFonts w:cs="Times New Roman"/>
        </w:rPr>
      </w:pPr>
      <w:r w:rsidRPr="00DF2291">
        <w:rPr>
          <w:rFonts w:cs="Times New Roman"/>
        </w:rPr>
        <w:t xml:space="preserve">For Palestinian refugees from Syria, the war brought to the surface a very volatile existence as refugees in the country as well as the region. Though not always present in their everyday life in Syria, these refugee experiences (re)materialise and become meaningful once they approach the border in their attempts to seek safety. With the non-entry policy in place for Palestinian refugees crossing into Jordan, Palestinians depend on a formal citizenship as an enabler to overcome the predicament imposed on them by the Jordanian government. Yet, citizenship and the individual mobility alone are not sufficient to contribute to a positive notion of belonging in Jordan. It is the experienced immobility as a family and the collective experience as Palestinian refugees that (co)shape the understanding of the (new) spaces in Jordan. </w:t>
      </w:r>
    </w:p>
    <w:p w14:paraId="52A935EB" w14:textId="77777777" w:rsidR="00E27CFA" w:rsidRPr="0014612D" w:rsidRDefault="00E27CFA" w:rsidP="00E27CFA">
      <w:pPr>
        <w:pStyle w:val="JRSHeadline1"/>
        <w:rPr>
          <w:lang w:val="en-GB"/>
        </w:rPr>
      </w:pPr>
    </w:p>
    <w:p w14:paraId="7B5D5B2D" w14:textId="26C99D47" w:rsidR="00DF2291" w:rsidRDefault="00DF2291">
      <w:pPr>
        <w:spacing w:before="0" w:after="0" w:line="240" w:lineRule="auto"/>
        <w:jc w:val="left"/>
        <w:rPr>
          <w:rFonts w:eastAsiaTheme="majorEastAsia" w:cs="Times New Roman"/>
          <w:b/>
          <w:szCs w:val="32"/>
        </w:rPr>
      </w:pPr>
      <w:r>
        <w:br w:type="page"/>
      </w:r>
    </w:p>
    <w:p w14:paraId="6BF21799" w14:textId="5D4E9F18" w:rsidR="00EC1A8D" w:rsidRPr="0014612D" w:rsidRDefault="00EC1A8D" w:rsidP="0014612D">
      <w:pPr>
        <w:pStyle w:val="JRSHeadline1"/>
        <w:rPr>
          <w:lang w:val="en-GB"/>
        </w:rPr>
      </w:pPr>
      <w:bookmarkStart w:id="0" w:name="_Toc31897545"/>
      <w:r w:rsidRPr="0014612D">
        <w:rPr>
          <w:lang w:val="en-GB"/>
        </w:rPr>
        <w:lastRenderedPageBreak/>
        <w:t>Introduction (2000 words)</w:t>
      </w:r>
      <w:bookmarkEnd w:id="0"/>
    </w:p>
    <w:p w14:paraId="119A5213" w14:textId="6525FDA9" w:rsidR="00E27CFA" w:rsidRDefault="00E27CFA" w:rsidP="0014612D">
      <w:pPr>
        <w:pStyle w:val="ListParagraph"/>
        <w:numPr>
          <w:ilvl w:val="0"/>
          <w:numId w:val="5"/>
        </w:numPr>
        <w:spacing w:line="360" w:lineRule="auto"/>
        <w:rPr>
          <w:rFonts w:ascii="Times New Roman" w:hAnsi="Times New Roman" w:cs="Times New Roman"/>
        </w:rPr>
      </w:pPr>
      <w:r w:rsidRPr="0014612D">
        <w:rPr>
          <w:rFonts w:ascii="Times New Roman" w:hAnsi="Times New Roman" w:cs="Times New Roman"/>
        </w:rPr>
        <w:t>PRS are for the first time affected by conflict and displacement</w:t>
      </w:r>
    </w:p>
    <w:p w14:paraId="7D81284A" w14:textId="19D05103" w:rsidR="0014612D" w:rsidRPr="0014612D" w:rsidRDefault="0014612D" w:rsidP="00DF2291">
      <w:pPr>
        <w:pStyle w:val="ListParagraph"/>
        <w:numPr>
          <w:ilvl w:val="0"/>
          <w:numId w:val="5"/>
        </w:numPr>
        <w:spacing w:line="360" w:lineRule="auto"/>
        <w:rPr>
          <w:rFonts w:ascii="Times New Roman" w:hAnsi="Times New Roman" w:cs="Times New Roman"/>
        </w:rPr>
      </w:pPr>
      <w:r>
        <w:rPr>
          <w:rFonts w:ascii="Times New Roman" w:hAnsi="Times New Roman" w:cs="Times New Roman"/>
        </w:rPr>
        <w:t>Key Argument/ Contribution of the paper</w:t>
      </w:r>
    </w:p>
    <w:p w14:paraId="4180275E" w14:textId="1A59CC62" w:rsidR="00EC1A8D" w:rsidRPr="0014612D" w:rsidRDefault="00EC1A8D" w:rsidP="0014612D">
      <w:pPr>
        <w:pStyle w:val="JRSHeadline2"/>
        <w:rPr>
          <w:lang w:val="en-GB"/>
        </w:rPr>
      </w:pPr>
      <w:bookmarkStart w:id="1" w:name="_Toc31897546"/>
      <w:r w:rsidRPr="0014612D">
        <w:rPr>
          <w:lang w:val="en-GB"/>
        </w:rPr>
        <w:t>Palestinians in Syria</w:t>
      </w:r>
      <w:bookmarkEnd w:id="1"/>
      <w:r w:rsidRPr="0014612D">
        <w:rPr>
          <w:lang w:val="en-GB"/>
        </w:rPr>
        <w:t xml:space="preserve"> </w:t>
      </w:r>
    </w:p>
    <w:p w14:paraId="02028F6A" w14:textId="6BC9A350" w:rsidR="00E27CFA" w:rsidRPr="0014612D" w:rsidRDefault="00E27CFA" w:rsidP="0014612D">
      <w:pPr>
        <w:pStyle w:val="ListParagraph"/>
        <w:numPr>
          <w:ilvl w:val="0"/>
          <w:numId w:val="5"/>
        </w:numPr>
        <w:spacing w:line="360" w:lineRule="auto"/>
        <w:rPr>
          <w:rFonts w:ascii="Times New Roman" w:hAnsi="Times New Roman" w:cs="Times New Roman"/>
          <w:sz w:val="22"/>
          <w:szCs w:val="22"/>
        </w:rPr>
      </w:pPr>
      <w:r w:rsidRPr="0014612D">
        <w:rPr>
          <w:rFonts w:ascii="Times New Roman" w:hAnsi="Times New Roman" w:cs="Times New Roman"/>
          <w:sz w:val="22"/>
          <w:szCs w:val="22"/>
        </w:rPr>
        <w:t>Geographic distribution of PRS</w:t>
      </w:r>
    </w:p>
    <w:p w14:paraId="0B39AF72" w14:textId="593A18E3" w:rsidR="00E27CFA" w:rsidRPr="0014612D" w:rsidRDefault="00E27CFA" w:rsidP="0014612D">
      <w:pPr>
        <w:pStyle w:val="ListParagraph"/>
        <w:numPr>
          <w:ilvl w:val="0"/>
          <w:numId w:val="5"/>
        </w:numPr>
        <w:spacing w:line="360" w:lineRule="auto"/>
        <w:rPr>
          <w:rFonts w:ascii="Times New Roman" w:hAnsi="Times New Roman" w:cs="Times New Roman"/>
          <w:sz w:val="22"/>
          <w:szCs w:val="22"/>
        </w:rPr>
      </w:pPr>
      <w:r w:rsidRPr="0014612D">
        <w:rPr>
          <w:rFonts w:ascii="Times New Roman" w:hAnsi="Times New Roman" w:cs="Times New Roman"/>
          <w:sz w:val="22"/>
          <w:szCs w:val="22"/>
        </w:rPr>
        <w:t xml:space="preserve">Literature discussion on PRS </w:t>
      </w:r>
    </w:p>
    <w:p w14:paraId="6C731271" w14:textId="24D9ADC2" w:rsidR="00EC1A8D" w:rsidRPr="0014612D" w:rsidRDefault="00EC1A8D" w:rsidP="0014612D">
      <w:pPr>
        <w:pStyle w:val="JRSHeadline2"/>
        <w:rPr>
          <w:lang w:val="en-GB"/>
        </w:rPr>
      </w:pPr>
      <w:bookmarkStart w:id="2" w:name="_Toc31897547"/>
      <w:r w:rsidRPr="0014612D">
        <w:rPr>
          <w:lang w:val="en-GB"/>
        </w:rPr>
        <w:t>The Syrian war and Palestinian refugees</w:t>
      </w:r>
      <w:bookmarkEnd w:id="2"/>
    </w:p>
    <w:p w14:paraId="4DEBB787" w14:textId="44F390B0" w:rsidR="00E27CFA" w:rsidRPr="0014612D" w:rsidRDefault="00E27CFA" w:rsidP="0014612D">
      <w:pPr>
        <w:pStyle w:val="ListParagraph"/>
        <w:numPr>
          <w:ilvl w:val="0"/>
          <w:numId w:val="5"/>
        </w:numPr>
        <w:spacing w:line="360" w:lineRule="auto"/>
        <w:rPr>
          <w:rFonts w:ascii="Times New Roman" w:hAnsi="Times New Roman" w:cs="Times New Roman"/>
          <w:sz w:val="22"/>
          <w:szCs w:val="22"/>
        </w:rPr>
      </w:pPr>
      <w:r w:rsidRPr="0014612D">
        <w:rPr>
          <w:rFonts w:ascii="Times New Roman" w:hAnsi="Times New Roman" w:cs="Times New Roman"/>
          <w:sz w:val="22"/>
          <w:szCs w:val="22"/>
        </w:rPr>
        <w:t>PRS stayed politically neutral</w:t>
      </w:r>
    </w:p>
    <w:p w14:paraId="5294209D" w14:textId="619AB9AF" w:rsidR="00E27CFA" w:rsidRPr="0014612D" w:rsidRDefault="00E27CFA" w:rsidP="0014612D">
      <w:pPr>
        <w:pStyle w:val="ListParagraph"/>
        <w:numPr>
          <w:ilvl w:val="0"/>
          <w:numId w:val="5"/>
        </w:numPr>
        <w:spacing w:line="360" w:lineRule="auto"/>
        <w:rPr>
          <w:rFonts w:ascii="Times New Roman" w:hAnsi="Times New Roman" w:cs="Times New Roman"/>
          <w:sz w:val="22"/>
          <w:szCs w:val="22"/>
        </w:rPr>
      </w:pPr>
      <w:r w:rsidRPr="0014612D">
        <w:rPr>
          <w:rFonts w:ascii="Times New Roman" w:hAnsi="Times New Roman" w:cs="Times New Roman"/>
          <w:sz w:val="22"/>
          <w:szCs w:val="22"/>
        </w:rPr>
        <w:t>Siege of Yarmouk</w:t>
      </w:r>
    </w:p>
    <w:p w14:paraId="15977C54" w14:textId="4F027DB6" w:rsidR="00EC1A8D" w:rsidRPr="0014612D" w:rsidRDefault="00EC1A8D" w:rsidP="0014612D">
      <w:pPr>
        <w:pStyle w:val="JRSHeadline1"/>
        <w:rPr>
          <w:lang w:val="en-GB"/>
        </w:rPr>
      </w:pPr>
      <w:bookmarkStart w:id="3" w:name="_Toc31897548"/>
      <w:r w:rsidRPr="0014612D">
        <w:rPr>
          <w:lang w:val="en-GB"/>
        </w:rPr>
        <w:t>Methodology (500 words)</w:t>
      </w:r>
      <w:bookmarkEnd w:id="3"/>
    </w:p>
    <w:p w14:paraId="2D9D9DCA" w14:textId="1860122D" w:rsidR="00E27CFA" w:rsidRPr="0014612D" w:rsidRDefault="00E27CFA" w:rsidP="0014612D">
      <w:pPr>
        <w:pStyle w:val="ListParagraph"/>
        <w:numPr>
          <w:ilvl w:val="0"/>
          <w:numId w:val="6"/>
        </w:numPr>
        <w:spacing w:line="360" w:lineRule="auto"/>
        <w:rPr>
          <w:rFonts w:ascii="Times New Roman" w:hAnsi="Times New Roman" w:cs="Times New Roman"/>
          <w:sz w:val="22"/>
          <w:szCs w:val="22"/>
        </w:rPr>
      </w:pPr>
      <w:r w:rsidRPr="0014612D">
        <w:rPr>
          <w:rFonts w:ascii="Times New Roman" w:hAnsi="Times New Roman" w:cs="Times New Roman"/>
          <w:sz w:val="22"/>
          <w:szCs w:val="22"/>
        </w:rPr>
        <w:t>Semi-structured interviews with PRS in Jordan</w:t>
      </w:r>
    </w:p>
    <w:p w14:paraId="38A61021" w14:textId="2E0D403A" w:rsidR="00E27CFA" w:rsidRPr="0014612D" w:rsidRDefault="00E27CFA" w:rsidP="0014612D">
      <w:pPr>
        <w:pStyle w:val="ListParagraph"/>
        <w:numPr>
          <w:ilvl w:val="0"/>
          <w:numId w:val="6"/>
        </w:numPr>
        <w:spacing w:line="360" w:lineRule="auto"/>
        <w:rPr>
          <w:rFonts w:ascii="Times New Roman" w:hAnsi="Times New Roman" w:cs="Times New Roman"/>
          <w:sz w:val="22"/>
          <w:szCs w:val="22"/>
        </w:rPr>
      </w:pPr>
      <w:r w:rsidRPr="0014612D">
        <w:rPr>
          <w:rFonts w:ascii="Times New Roman" w:hAnsi="Times New Roman" w:cs="Times New Roman"/>
          <w:sz w:val="22"/>
          <w:szCs w:val="22"/>
        </w:rPr>
        <w:t>23 individuals</w:t>
      </w:r>
    </w:p>
    <w:p w14:paraId="4D65B9E6" w14:textId="2B664162" w:rsidR="00E27CFA" w:rsidRPr="0014612D" w:rsidRDefault="00E27CFA" w:rsidP="0014612D">
      <w:pPr>
        <w:pStyle w:val="ListParagraph"/>
        <w:numPr>
          <w:ilvl w:val="0"/>
          <w:numId w:val="6"/>
        </w:numPr>
        <w:spacing w:line="360" w:lineRule="auto"/>
        <w:rPr>
          <w:rFonts w:ascii="Times New Roman" w:hAnsi="Times New Roman" w:cs="Times New Roman"/>
          <w:sz w:val="22"/>
          <w:szCs w:val="22"/>
        </w:rPr>
      </w:pPr>
      <w:r w:rsidRPr="0014612D">
        <w:rPr>
          <w:rFonts w:ascii="Times New Roman" w:hAnsi="Times New Roman" w:cs="Times New Roman"/>
          <w:sz w:val="22"/>
          <w:szCs w:val="22"/>
        </w:rPr>
        <w:t>Mainly collected in April 2019</w:t>
      </w:r>
    </w:p>
    <w:p w14:paraId="6F895EFB" w14:textId="0054CB3A" w:rsidR="00EC1A8D" w:rsidRPr="0014612D" w:rsidRDefault="00EC1A8D" w:rsidP="00E27CFA">
      <w:pPr>
        <w:pStyle w:val="JRSHeadline1"/>
        <w:rPr>
          <w:lang w:val="en-GB"/>
        </w:rPr>
      </w:pPr>
      <w:bookmarkStart w:id="4" w:name="_Toc31897549"/>
      <w:r w:rsidRPr="0014612D">
        <w:rPr>
          <w:lang w:val="en-GB"/>
        </w:rPr>
        <w:t>Palestinian refugees from Syria: Multiple movements and multiplicity of legal status (2000 words)</w:t>
      </w:r>
      <w:bookmarkEnd w:id="4"/>
    </w:p>
    <w:p w14:paraId="20BA03D1" w14:textId="77777777" w:rsidR="00E27CFA" w:rsidRPr="0014612D" w:rsidRDefault="00E27CFA" w:rsidP="00E27CFA">
      <w:pPr>
        <w:pStyle w:val="ListParagraph"/>
        <w:numPr>
          <w:ilvl w:val="0"/>
          <w:numId w:val="4"/>
        </w:numPr>
        <w:spacing w:after="120" w:line="360" w:lineRule="auto"/>
        <w:jc w:val="both"/>
        <w:rPr>
          <w:rFonts w:ascii="Times New Roman" w:hAnsi="Times New Roman" w:cs="Times New Roman"/>
          <w:sz w:val="22"/>
          <w:szCs w:val="22"/>
        </w:rPr>
      </w:pPr>
      <w:r w:rsidRPr="0014612D">
        <w:rPr>
          <w:rFonts w:ascii="Times New Roman" w:hAnsi="Times New Roman" w:cs="Times New Roman"/>
          <w:sz w:val="22"/>
          <w:szCs w:val="22"/>
        </w:rPr>
        <w:t xml:space="preserve">Brief discussion of the legal status in Syria </w:t>
      </w:r>
    </w:p>
    <w:p w14:paraId="42A5FA72" w14:textId="4F9BD835" w:rsidR="00E27CFA" w:rsidRPr="0014612D" w:rsidRDefault="00E27CFA" w:rsidP="00E27CFA">
      <w:pPr>
        <w:pStyle w:val="ListParagraph"/>
        <w:numPr>
          <w:ilvl w:val="0"/>
          <w:numId w:val="4"/>
        </w:numPr>
        <w:spacing w:after="120" w:line="360" w:lineRule="auto"/>
        <w:jc w:val="both"/>
        <w:rPr>
          <w:rFonts w:ascii="Times New Roman" w:hAnsi="Times New Roman" w:cs="Times New Roman"/>
          <w:sz w:val="22"/>
          <w:szCs w:val="22"/>
        </w:rPr>
      </w:pPr>
      <w:r w:rsidRPr="0014612D">
        <w:rPr>
          <w:rFonts w:ascii="Times New Roman" w:hAnsi="Times New Roman" w:cs="Times New Roman"/>
          <w:sz w:val="22"/>
          <w:szCs w:val="22"/>
        </w:rPr>
        <w:t>Mobility prior to the outbreak of the war and the resulting multiple legal status</w:t>
      </w:r>
      <w:r w:rsidR="00452158">
        <w:rPr>
          <w:rFonts w:ascii="Times New Roman" w:hAnsi="Times New Roman" w:cs="Times New Roman"/>
          <w:sz w:val="22"/>
          <w:szCs w:val="22"/>
        </w:rPr>
        <w:t>es</w:t>
      </w:r>
      <w:r w:rsidRPr="0014612D">
        <w:rPr>
          <w:rFonts w:ascii="Times New Roman" w:hAnsi="Times New Roman" w:cs="Times New Roman"/>
          <w:sz w:val="22"/>
          <w:szCs w:val="22"/>
        </w:rPr>
        <w:t xml:space="preserve"> </w:t>
      </w:r>
    </w:p>
    <w:p w14:paraId="500530BC" w14:textId="65F1A53B" w:rsidR="00E27CFA" w:rsidRPr="0014612D" w:rsidRDefault="00E27CFA" w:rsidP="00E27CFA">
      <w:pPr>
        <w:pStyle w:val="ListParagraph"/>
        <w:numPr>
          <w:ilvl w:val="1"/>
          <w:numId w:val="4"/>
        </w:numPr>
        <w:spacing w:after="120" w:line="360" w:lineRule="auto"/>
        <w:jc w:val="both"/>
        <w:rPr>
          <w:rFonts w:ascii="Times New Roman" w:hAnsi="Times New Roman" w:cs="Times New Roman"/>
          <w:sz w:val="22"/>
          <w:szCs w:val="22"/>
        </w:rPr>
      </w:pPr>
      <w:r w:rsidRPr="0014612D">
        <w:rPr>
          <w:rFonts w:ascii="Times New Roman" w:hAnsi="Times New Roman" w:cs="Times New Roman"/>
          <w:sz w:val="22"/>
          <w:szCs w:val="22"/>
        </w:rPr>
        <w:t>Example: Maya</w:t>
      </w:r>
    </w:p>
    <w:p w14:paraId="040DB36E" w14:textId="65E14779" w:rsidR="00EC1A8D" w:rsidRPr="0014612D" w:rsidRDefault="00EC1A8D" w:rsidP="00E27CFA">
      <w:pPr>
        <w:pStyle w:val="JRSHeadline1"/>
        <w:rPr>
          <w:lang w:val="en-GB"/>
        </w:rPr>
      </w:pPr>
      <w:bookmarkStart w:id="5" w:name="_Toc31897550"/>
      <w:r w:rsidRPr="0014612D">
        <w:rPr>
          <w:lang w:val="en-GB"/>
        </w:rPr>
        <w:t>The Border Crossing: Re</w:t>
      </w:r>
      <w:r w:rsidR="00B4393E">
        <w:rPr>
          <w:lang w:val="en-GB"/>
        </w:rPr>
        <w:t>-</w:t>
      </w:r>
      <w:r w:rsidRPr="0014612D">
        <w:rPr>
          <w:lang w:val="en-GB"/>
        </w:rPr>
        <w:t>surfacing of the Palestinian refugee status (3000 words)</w:t>
      </w:r>
      <w:bookmarkEnd w:id="5"/>
    </w:p>
    <w:p w14:paraId="0027AC7D" w14:textId="7D288D2A" w:rsidR="00E27CFA" w:rsidRDefault="00E27CFA" w:rsidP="0014612D">
      <w:pPr>
        <w:pStyle w:val="ListParagraph"/>
        <w:numPr>
          <w:ilvl w:val="0"/>
          <w:numId w:val="7"/>
        </w:numPr>
        <w:rPr>
          <w:rFonts w:ascii="Times New Roman" w:hAnsi="Times New Roman" w:cs="Times New Roman"/>
          <w:sz w:val="22"/>
          <w:szCs w:val="22"/>
        </w:rPr>
      </w:pPr>
      <w:r w:rsidRPr="0014612D">
        <w:rPr>
          <w:rFonts w:ascii="Times New Roman" w:hAnsi="Times New Roman" w:cs="Times New Roman"/>
          <w:sz w:val="22"/>
          <w:szCs w:val="22"/>
        </w:rPr>
        <w:t>Non-entry policy for PRS in Jordan</w:t>
      </w:r>
    </w:p>
    <w:p w14:paraId="17BC74E1" w14:textId="149C47F3" w:rsidR="00DC79BE" w:rsidRPr="00452158" w:rsidRDefault="00452158" w:rsidP="0014612D">
      <w:pPr>
        <w:pStyle w:val="ListParagraph"/>
        <w:numPr>
          <w:ilvl w:val="0"/>
          <w:numId w:val="7"/>
        </w:numPr>
        <w:rPr>
          <w:rFonts w:ascii="Times New Roman" w:hAnsi="Times New Roman" w:cs="Times New Roman"/>
          <w:sz w:val="22"/>
          <w:szCs w:val="22"/>
        </w:rPr>
      </w:pPr>
      <w:r w:rsidRPr="00452158">
        <w:rPr>
          <w:rFonts w:ascii="Times New Roman" w:hAnsi="Times New Roman" w:cs="Times New Roman"/>
          <w:iCs/>
          <w:sz w:val="22"/>
          <w:szCs w:val="22"/>
        </w:rPr>
        <w:t>T</w:t>
      </w:r>
      <w:r w:rsidR="00DC79BE" w:rsidRPr="00452158">
        <w:rPr>
          <w:rFonts w:ascii="Times New Roman" w:hAnsi="Times New Roman" w:cs="Times New Roman"/>
          <w:iCs/>
          <w:sz w:val="22"/>
          <w:szCs w:val="22"/>
        </w:rPr>
        <w:t>hinking beyond the legal citizenship status as a form of belonging</w:t>
      </w:r>
    </w:p>
    <w:p w14:paraId="1CA93A56" w14:textId="70F5CB93" w:rsidR="00EC1A8D" w:rsidRPr="0014612D" w:rsidRDefault="00EC1A8D" w:rsidP="00E27CFA">
      <w:pPr>
        <w:pStyle w:val="JRSHeadline2"/>
        <w:rPr>
          <w:lang w:val="en-GB"/>
        </w:rPr>
      </w:pPr>
      <w:bookmarkStart w:id="6" w:name="_Toc31897551"/>
      <w:r w:rsidRPr="0014612D">
        <w:rPr>
          <w:lang w:val="en-GB"/>
        </w:rPr>
        <w:t>Individual mobility</w:t>
      </w:r>
      <w:bookmarkEnd w:id="6"/>
    </w:p>
    <w:p w14:paraId="67E2B175" w14:textId="77777777" w:rsidR="0014612D" w:rsidRDefault="00E27CFA" w:rsidP="0014612D">
      <w:pPr>
        <w:pStyle w:val="ListParagraph"/>
        <w:numPr>
          <w:ilvl w:val="0"/>
          <w:numId w:val="7"/>
        </w:numPr>
        <w:rPr>
          <w:rFonts w:ascii="Times New Roman" w:hAnsi="Times New Roman" w:cs="Times New Roman"/>
          <w:sz w:val="22"/>
          <w:szCs w:val="22"/>
        </w:rPr>
      </w:pPr>
      <w:r w:rsidRPr="0014612D">
        <w:rPr>
          <w:rFonts w:ascii="Times New Roman" w:hAnsi="Times New Roman" w:cs="Times New Roman"/>
          <w:sz w:val="22"/>
          <w:szCs w:val="22"/>
        </w:rPr>
        <w:t>PRS with Jordanian documents</w:t>
      </w:r>
    </w:p>
    <w:p w14:paraId="208FC64F" w14:textId="7C6D260B" w:rsidR="00E27CFA" w:rsidRPr="0014612D" w:rsidRDefault="0014612D" w:rsidP="0014612D">
      <w:pPr>
        <w:pStyle w:val="ListParagraph"/>
        <w:numPr>
          <w:ilvl w:val="1"/>
          <w:numId w:val="7"/>
        </w:numPr>
        <w:rPr>
          <w:rFonts w:ascii="Times New Roman" w:hAnsi="Times New Roman" w:cs="Times New Roman"/>
          <w:sz w:val="22"/>
          <w:szCs w:val="22"/>
        </w:rPr>
      </w:pPr>
      <w:r>
        <w:rPr>
          <w:rFonts w:ascii="Times New Roman" w:hAnsi="Times New Roman" w:cs="Times New Roman"/>
          <w:sz w:val="22"/>
          <w:szCs w:val="22"/>
        </w:rPr>
        <w:t>Example:</w:t>
      </w:r>
      <w:r w:rsidR="00E27CFA" w:rsidRPr="0014612D">
        <w:rPr>
          <w:rFonts w:ascii="Times New Roman" w:hAnsi="Times New Roman" w:cs="Times New Roman"/>
          <w:sz w:val="22"/>
          <w:szCs w:val="22"/>
        </w:rPr>
        <w:t xml:space="preserve"> Abu Sami, Samira, Leila</w:t>
      </w:r>
    </w:p>
    <w:p w14:paraId="232FB1A3" w14:textId="16DADC65" w:rsidR="00EC1A8D" w:rsidRPr="0014612D" w:rsidRDefault="00EC1A8D" w:rsidP="00E27CFA">
      <w:pPr>
        <w:pStyle w:val="JRSHeadline2"/>
        <w:rPr>
          <w:lang w:val="en-GB"/>
        </w:rPr>
      </w:pPr>
      <w:bookmarkStart w:id="7" w:name="_Toc31897552"/>
      <w:r w:rsidRPr="0014612D">
        <w:rPr>
          <w:lang w:val="en-GB"/>
        </w:rPr>
        <w:lastRenderedPageBreak/>
        <w:t>Collective immobility</w:t>
      </w:r>
      <w:bookmarkEnd w:id="7"/>
    </w:p>
    <w:p w14:paraId="021B2704" w14:textId="77777777" w:rsidR="0014612D" w:rsidRDefault="00E27CFA" w:rsidP="0014612D">
      <w:pPr>
        <w:pStyle w:val="JRSHeadline2"/>
        <w:numPr>
          <w:ilvl w:val="0"/>
          <w:numId w:val="7"/>
        </w:numPr>
        <w:spacing w:line="240" w:lineRule="auto"/>
        <w:rPr>
          <w:i w:val="0"/>
          <w:iCs/>
          <w:sz w:val="22"/>
          <w:szCs w:val="28"/>
          <w:lang w:val="en-GB"/>
        </w:rPr>
      </w:pPr>
      <w:r w:rsidRPr="0014612D">
        <w:rPr>
          <w:i w:val="0"/>
          <w:iCs/>
          <w:sz w:val="22"/>
          <w:szCs w:val="28"/>
          <w:lang w:val="en-GB"/>
        </w:rPr>
        <w:t xml:space="preserve">Stateless PRS </w:t>
      </w:r>
    </w:p>
    <w:p w14:paraId="6545D426" w14:textId="239E4740" w:rsidR="00E27CFA" w:rsidRPr="0014612D" w:rsidRDefault="0014612D" w:rsidP="0014612D">
      <w:pPr>
        <w:pStyle w:val="JRSHeadline2"/>
        <w:numPr>
          <w:ilvl w:val="1"/>
          <w:numId w:val="7"/>
        </w:numPr>
        <w:spacing w:line="240" w:lineRule="auto"/>
        <w:rPr>
          <w:i w:val="0"/>
          <w:iCs/>
          <w:sz w:val="22"/>
          <w:szCs w:val="28"/>
          <w:lang w:val="en-GB"/>
        </w:rPr>
      </w:pPr>
      <w:r>
        <w:rPr>
          <w:i w:val="0"/>
          <w:iCs/>
          <w:sz w:val="22"/>
          <w:szCs w:val="28"/>
          <w:lang w:val="en-GB"/>
        </w:rPr>
        <w:t xml:space="preserve">Example: </w:t>
      </w:r>
      <w:proofErr w:type="spellStart"/>
      <w:r w:rsidRPr="0014612D">
        <w:rPr>
          <w:i w:val="0"/>
          <w:iCs/>
          <w:sz w:val="22"/>
          <w:szCs w:val="28"/>
          <w:lang w:val="en-GB"/>
        </w:rPr>
        <w:t>Abeer</w:t>
      </w:r>
      <w:proofErr w:type="spellEnd"/>
    </w:p>
    <w:p w14:paraId="3438CF60" w14:textId="77777777" w:rsidR="00817C4E" w:rsidRDefault="00817C4E" w:rsidP="00E27CFA">
      <w:pPr>
        <w:pStyle w:val="JRSHeadline1"/>
        <w:rPr>
          <w:lang w:val="en-GB"/>
        </w:rPr>
      </w:pPr>
      <w:bookmarkStart w:id="8" w:name="_Toc31897553"/>
    </w:p>
    <w:p w14:paraId="77BE7D1F" w14:textId="04CC7F35" w:rsidR="00EC1A8D" w:rsidRPr="0014612D" w:rsidRDefault="00EC1A8D" w:rsidP="00E27CFA">
      <w:pPr>
        <w:pStyle w:val="JRSHeadline1"/>
        <w:rPr>
          <w:lang w:val="en-GB"/>
        </w:rPr>
      </w:pPr>
      <w:r w:rsidRPr="0014612D">
        <w:rPr>
          <w:lang w:val="en-GB"/>
        </w:rPr>
        <w:t>Conclusion (500-1000 words)</w:t>
      </w:r>
      <w:bookmarkEnd w:id="8"/>
    </w:p>
    <w:p w14:paraId="394653EE" w14:textId="77777777" w:rsidR="00E25CB9" w:rsidRPr="0014612D" w:rsidRDefault="00E25CB9"/>
    <w:sectPr w:rsidR="00E25CB9" w:rsidRPr="0014612D" w:rsidSect="00CF31C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37FD"/>
    <w:multiLevelType w:val="hybridMultilevel"/>
    <w:tmpl w:val="04B27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0380"/>
    <w:multiLevelType w:val="hybridMultilevel"/>
    <w:tmpl w:val="E5E06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332FC"/>
    <w:multiLevelType w:val="hybridMultilevel"/>
    <w:tmpl w:val="630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13139"/>
    <w:multiLevelType w:val="hybridMultilevel"/>
    <w:tmpl w:val="1A1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41E3B"/>
    <w:multiLevelType w:val="multilevel"/>
    <w:tmpl w:val="7B82CB94"/>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6"/>
        <w:szCs w:val="26"/>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4"/>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8D"/>
    <w:rsid w:val="000129D2"/>
    <w:rsid w:val="00020C24"/>
    <w:rsid w:val="00022E8C"/>
    <w:rsid w:val="00023633"/>
    <w:rsid w:val="0002385E"/>
    <w:rsid w:val="00026F7F"/>
    <w:rsid w:val="000275F3"/>
    <w:rsid w:val="000333B3"/>
    <w:rsid w:val="0003579D"/>
    <w:rsid w:val="000370D8"/>
    <w:rsid w:val="0003763F"/>
    <w:rsid w:val="00060F95"/>
    <w:rsid w:val="0006286A"/>
    <w:rsid w:val="00065BE0"/>
    <w:rsid w:val="00071068"/>
    <w:rsid w:val="000715E1"/>
    <w:rsid w:val="000750FE"/>
    <w:rsid w:val="00084BD8"/>
    <w:rsid w:val="000932E7"/>
    <w:rsid w:val="00093F0F"/>
    <w:rsid w:val="000B3E5B"/>
    <w:rsid w:val="000B67F9"/>
    <w:rsid w:val="000C583D"/>
    <w:rsid w:val="000D45D2"/>
    <w:rsid w:val="000D6370"/>
    <w:rsid w:val="000E49B1"/>
    <w:rsid w:val="001168AD"/>
    <w:rsid w:val="00125236"/>
    <w:rsid w:val="001252E0"/>
    <w:rsid w:val="00125465"/>
    <w:rsid w:val="00135085"/>
    <w:rsid w:val="00135432"/>
    <w:rsid w:val="00137627"/>
    <w:rsid w:val="0014058A"/>
    <w:rsid w:val="00144243"/>
    <w:rsid w:val="0014612D"/>
    <w:rsid w:val="0015287C"/>
    <w:rsid w:val="0016066E"/>
    <w:rsid w:val="00167719"/>
    <w:rsid w:val="00177436"/>
    <w:rsid w:val="001845E5"/>
    <w:rsid w:val="00196948"/>
    <w:rsid w:val="001B0E65"/>
    <w:rsid w:val="001B374E"/>
    <w:rsid w:val="001C27F6"/>
    <w:rsid w:val="001D0CD6"/>
    <w:rsid w:val="001D4D09"/>
    <w:rsid w:val="001D70C3"/>
    <w:rsid w:val="001E131B"/>
    <w:rsid w:val="001E14A4"/>
    <w:rsid w:val="001E6A27"/>
    <w:rsid w:val="001F456F"/>
    <w:rsid w:val="00207C44"/>
    <w:rsid w:val="002100A8"/>
    <w:rsid w:val="00215241"/>
    <w:rsid w:val="00217559"/>
    <w:rsid w:val="00223B21"/>
    <w:rsid w:val="00224CED"/>
    <w:rsid w:val="00225E16"/>
    <w:rsid w:val="002318E7"/>
    <w:rsid w:val="0024452C"/>
    <w:rsid w:val="002460CF"/>
    <w:rsid w:val="00271A98"/>
    <w:rsid w:val="002749E5"/>
    <w:rsid w:val="00274C33"/>
    <w:rsid w:val="00281112"/>
    <w:rsid w:val="0028314C"/>
    <w:rsid w:val="002B63BA"/>
    <w:rsid w:val="002D4F62"/>
    <w:rsid w:val="002D52D9"/>
    <w:rsid w:val="002E1ABB"/>
    <w:rsid w:val="002E58CF"/>
    <w:rsid w:val="002E684B"/>
    <w:rsid w:val="002F5730"/>
    <w:rsid w:val="0030342F"/>
    <w:rsid w:val="00325AB1"/>
    <w:rsid w:val="00345C34"/>
    <w:rsid w:val="003628B6"/>
    <w:rsid w:val="003632DE"/>
    <w:rsid w:val="003643EF"/>
    <w:rsid w:val="003878C2"/>
    <w:rsid w:val="00387E7E"/>
    <w:rsid w:val="0039537D"/>
    <w:rsid w:val="003B0F8A"/>
    <w:rsid w:val="003B3685"/>
    <w:rsid w:val="003B52B2"/>
    <w:rsid w:val="003C3B5D"/>
    <w:rsid w:val="003D1D5B"/>
    <w:rsid w:val="003E395D"/>
    <w:rsid w:val="003E4AE2"/>
    <w:rsid w:val="003F079D"/>
    <w:rsid w:val="003F1FBC"/>
    <w:rsid w:val="003F754C"/>
    <w:rsid w:val="003F7DDE"/>
    <w:rsid w:val="00402D13"/>
    <w:rsid w:val="00403B43"/>
    <w:rsid w:val="00404961"/>
    <w:rsid w:val="00407C9E"/>
    <w:rsid w:val="00410066"/>
    <w:rsid w:val="004133C6"/>
    <w:rsid w:val="00413D3E"/>
    <w:rsid w:val="00414447"/>
    <w:rsid w:val="00414E2E"/>
    <w:rsid w:val="00420C51"/>
    <w:rsid w:val="00436967"/>
    <w:rsid w:val="00442724"/>
    <w:rsid w:val="00452158"/>
    <w:rsid w:val="0046202F"/>
    <w:rsid w:val="00464EBF"/>
    <w:rsid w:val="0046693D"/>
    <w:rsid w:val="00467703"/>
    <w:rsid w:val="004766C0"/>
    <w:rsid w:val="004922F8"/>
    <w:rsid w:val="00492BE3"/>
    <w:rsid w:val="00493E53"/>
    <w:rsid w:val="00495065"/>
    <w:rsid w:val="00495F7E"/>
    <w:rsid w:val="00497B61"/>
    <w:rsid w:val="004A19E9"/>
    <w:rsid w:val="004A723F"/>
    <w:rsid w:val="004C18D7"/>
    <w:rsid w:val="004C426D"/>
    <w:rsid w:val="004C4A3D"/>
    <w:rsid w:val="004D1DC3"/>
    <w:rsid w:val="004D5ED7"/>
    <w:rsid w:val="004F1B77"/>
    <w:rsid w:val="004F258B"/>
    <w:rsid w:val="00506F96"/>
    <w:rsid w:val="005251A5"/>
    <w:rsid w:val="0052672E"/>
    <w:rsid w:val="00530F21"/>
    <w:rsid w:val="005336EC"/>
    <w:rsid w:val="0053637F"/>
    <w:rsid w:val="005468E1"/>
    <w:rsid w:val="0055260C"/>
    <w:rsid w:val="00554ADF"/>
    <w:rsid w:val="0056748B"/>
    <w:rsid w:val="00573121"/>
    <w:rsid w:val="00574CD7"/>
    <w:rsid w:val="00576D7C"/>
    <w:rsid w:val="00580F95"/>
    <w:rsid w:val="00582076"/>
    <w:rsid w:val="00585A22"/>
    <w:rsid w:val="005963CB"/>
    <w:rsid w:val="005A59DC"/>
    <w:rsid w:val="005B6C5D"/>
    <w:rsid w:val="005B6C9C"/>
    <w:rsid w:val="005C0ADD"/>
    <w:rsid w:val="005C2AAB"/>
    <w:rsid w:val="005C5862"/>
    <w:rsid w:val="005D4273"/>
    <w:rsid w:val="005E1189"/>
    <w:rsid w:val="005E4ECE"/>
    <w:rsid w:val="005F6E0B"/>
    <w:rsid w:val="00605633"/>
    <w:rsid w:val="0061046C"/>
    <w:rsid w:val="00621746"/>
    <w:rsid w:val="00627CA8"/>
    <w:rsid w:val="0063133F"/>
    <w:rsid w:val="00631CF0"/>
    <w:rsid w:val="0063382D"/>
    <w:rsid w:val="0063560F"/>
    <w:rsid w:val="00652376"/>
    <w:rsid w:val="00654F8C"/>
    <w:rsid w:val="006638AF"/>
    <w:rsid w:val="0067645F"/>
    <w:rsid w:val="006852DE"/>
    <w:rsid w:val="0068659F"/>
    <w:rsid w:val="0068723E"/>
    <w:rsid w:val="00687D77"/>
    <w:rsid w:val="0069755F"/>
    <w:rsid w:val="006A1491"/>
    <w:rsid w:val="006A4814"/>
    <w:rsid w:val="006B0C93"/>
    <w:rsid w:val="006D6194"/>
    <w:rsid w:val="006E361A"/>
    <w:rsid w:val="006F0FCD"/>
    <w:rsid w:val="006F1806"/>
    <w:rsid w:val="006F2E12"/>
    <w:rsid w:val="006F329C"/>
    <w:rsid w:val="006F33AC"/>
    <w:rsid w:val="00717A6A"/>
    <w:rsid w:val="00723740"/>
    <w:rsid w:val="0072505D"/>
    <w:rsid w:val="00731F5F"/>
    <w:rsid w:val="00754FB9"/>
    <w:rsid w:val="007655A0"/>
    <w:rsid w:val="007677D6"/>
    <w:rsid w:val="007726E2"/>
    <w:rsid w:val="00774B26"/>
    <w:rsid w:val="00776A4A"/>
    <w:rsid w:val="00777A6B"/>
    <w:rsid w:val="00784DED"/>
    <w:rsid w:val="00786035"/>
    <w:rsid w:val="00792B78"/>
    <w:rsid w:val="0079610C"/>
    <w:rsid w:val="007A7A62"/>
    <w:rsid w:val="007B065E"/>
    <w:rsid w:val="007B0B51"/>
    <w:rsid w:val="007B47D6"/>
    <w:rsid w:val="007B6326"/>
    <w:rsid w:val="007C1641"/>
    <w:rsid w:val="007C73DA"/>
    <w:rsid w:val="007C74BE"/>
    <w:rsid w:val="007E09E3"/>
    <w:rsid w:val="007E6007"/>
    <w:rsid w:val="007E6A25"/>
    <w:rsid w:val="007E7C81"/>
    <w:rsid w:val="007F10F9"/>
    <w:rsid w:val="007F7A00"/>
    <w:rsid w:val="008050B5"/>
    <w:rsid w:val="008070B3"/>
    <w:rsid w:val="00807D41"/>
    <w:rsid w:val="00813D5E"/>
    <w:rsid w:val="00814A35"/>
    <w:rsid w:val="008173F0"/>
    <w:rsid w:val="00817C4E"/>
    <w:rsid w:val="00843ADD"/>
    <w:rsid w:val="00843DAE"/>
    <w:rsid w:val="00846516"/>
    <w:rsid w:val="008471F6"/>
    <w:rsid w:val="00867507"/>
    <w:rsid w:val="0088556C"/>
    <w:rsid w:val="00890787"/>
    <w:rsid w:val="008933B8"/>
    <w:rsid w:val="008955F2"/>
    <w:rsid w:val="00895841"/>
    <w:rsid w:val="00897315"/>
    <w:rsid w:val="008A1191"/>
    <w:rsid w:val="008A73BA"/>
    <w:rsid w:val="008A7857"/>
    <w:rsid w:val="008B1A6E"/>
    <w:rsid w:val="008B6EA6"/>
    <w:rsid w:val="008C139D"/>
    <w:rsid w:val="008C3EB5"/>
    <w:rsid w:val="008C4580"/>
    <w:rsid w:val="008D0C1A"/>
    <w:rsid w:val="008D1842"/>
    <w:rsid w:val="008D5D9E"/>
    <w:rsid w:val="008F027E"/>
    <w:rsid w:val="00901682"/>
    <w:rsid w:val="00902E97"/>
    <w:rsid w:val="0091784F"/>
    <w:rsid w:val="00920DEC"/>
    <w:rsid w:val="00925FF6"/>
    <w:rsid w:val="00936D72"/>
    <w:rsid w:val="0093702C"/>
    <w:rsid w:val="00943649"/>
    <w:rsid w:val="00943EF1"/>
    <w:rsid w:val="00945023"/>
    <w:rsid w:val="00950B7D"/>
    <w:rsid w:val="0096062E"/>
    <w:rsid w:val="00961CF9"/>
    <w:rsid w:val="0099359F"/>
    <w:rsid w:val="00993CB5"/>
    <w:rsid w:val="00994178"/>
    <w:rsid w:val="00994BD7"/>
    <w:rsid w:val="00995E83"/>
    <w:rsid w:val="00997092"/>
    <w:rsid w:val="009A4186"/>
    <w:rsid w:val="009A6A8F"/>
    <w:rsid w:val="009B3905"/>
    <w:rsid w:val="009B60C9"/>
    <w:rsid w:val="009C43FC"/>
    <w:rsid w:val="009D06D7"/>
    <w:rsid w:val="009D371F"/>
    <w:rsid w:val="009E64F9"/>
    <w:rsid w:val="009F07EE"/>
    <w:rsid w:val="009F5EBB"/>
    <w:rsid w:val="009F6150"/>
    <w:rsid w:val="00A05824"/>
    <w:rsid w:val="00A233FD"/>
    <w:rsid w:val="00A30CBE"/>
    <w:rsid w:val="00A417A3"/>
    <w:rsid w:val="00A4460A"/>
    <w:rsid w:val="00A46CAB"/>
    <w:rsid w:val="00A53ACB"/>
    <w:rsid w:val="00A5484F"/>
    <w:rsid w:val="00A739A4"/>
    <w:rsid w:val="00A931AF"/>
    <w:rsid w:val="00A94CA6"/>
    <w:rsid w:val="00A96149"/>
    <w:rsid w:val="00A96188"/>
    <w:rsid w:val="00A97FD2"/>
    <w:rsid w:val="00AA04F4"/>
    <w:rsid w:val="00AA0FAD"/>
    <w:rsid w:val="00AA3227"/>
    <w:rsid w:val="00AC0520"/>
    <w:rsid w:val="00AC7510"/>
    <w:rsid w:val="00AD4C3A"/>
    <w:rsid w:val="00AE1547"/>
    <w:rsid w:val="00AF5866"/>
    <w:rsid w:val="00B02616"/>
    <w:rsid w:val="00B04502"/>
    <w:rsid w:val="00B06B7A"/>
    <w:rsid w:val="00B07BF0"/>
    <w:rsid w:val="00B1326A"/>
    <w:rsid w:val="00B201F5"/>
    <w:rsid w:val="00B216F0"/>
    <w:rsid w:val="00B24098"/>
    <w:rsid w:val="00B241E9"/>
    <w:rsid w:val="00B36637"/>
    <w:rsid w:val="00B36C64"/>
    <w:rsid w:val="00B3773C"/>
    <w:rsid w:val="00B4393E"/>
    <w:rsid w:val="00B601DF"/>
    <w:rsid w:val="00B7772E"/>
    <w:rsid w:val="00B806B7"/>
    <w:rsid w:val="00B80E32"/>
    <w:rsid w:val="00B972B4"/>
    <w:rsid w:val="00BA03C7"/>
    <w:rsid w:val="00BA2154"/>
    <w:rsid w:val="00BA3267"/>
    <w:rsid w:val="00BA5CCC"/>
    <w:rsid w:val="00BB2CE6"/>
    <w:rsid w:val="00BB4360"/>
    <w:rsid w:val="00BC1518"/>
    <w:rsid w:val="00BD05CE"/>
    <w:rsid w:val="00BD0B20"/>
    <w:rsid w:val="00BD0BC0"/>
    <w:rsid w:val="00BD4C5B"/>
    <w:rsid w:val="00BD7D49"/>
    <w:rsid w:val="00BE1B54"/>
    <w:rsid w:val="00BE2899"/>
    <w:rsid w:val="00BE2D42"/>
    <w:rsid w:val="00BE38E4"/>
    <w:rsid w:val="00BE71C9"/>
    <w:rsid w:val="00BF07F7"/>
    <w:rsid w:val="00BF258D"/>
    <w:rsid w:val="00BF55FD"/>
    <w:rsid w:val="00BF59CF"/>
    <w:rsid w:val="00C022BF"/>
    <w:rsid w:val="00C05761"/>
    <w:rsid w:val="00C05987"/>
    <w:rsid w:val="00C42530"/>
    <w:rsid w:val="00C53B53"/>
    <w:rsid w:val="00C610AB"/>
    <w:rsid w:val="00C65813"/>
    <w:rsid w:val="00C6670D"/>
    <w:rsid w:val="00C7228C"/>
    <w:rsid w:val="00C748D3"/>
    <w:rsid w:val="00C81D87"/>
    <w:rsid w:val="00C85E06"/>
    <w:rsid w:val="00CA06AB"/>
    <w:rsid w:val="00CA5AAB"/>
    <w:rsid w:val="00CA6885"/>
    <w:rsid w:val="00CB0E63"/>
    <w:rsid w:val="00CB649B"/>
    <w:rsid w:val="00CD36C5"/>
    <w:rsid w:val="00CE0C06"/>
    <w:rsid w:val="00CE290A"/>
    <w:rsid w:val="00CE316A"/>
    <w:rsid w:val="00CE62F3"/>
    <w:rsid w:val="00CE7BE7"/>
    <w:rsid w:val="00CE7DA0"/>
    <w:rsid w:val="00CF31C2"/>
    <w:rsid w:val="00CF46D1"/>
    <w:rsid w:val="00CF4F35"/>
    <w:rsid w:val="00CF650A"/>
    <w:rsid w:val="00CF721B"/>
    <w:rsid w:val="00CF7B6B"/>
    <w:rsid w:val="00D01FC3"/>
    <w:rsid w:val="00D023F6"/>
    <w:rsid w:val="00D052EC"/>
    <w:rsid w:val="00D11CE5"/>
    <w:rsid w:val="00D34376"/>
    <w:rsid w:val="00D44E53"/>
    <w:rsid w:val="00D45247"/>
    <w:rsid w:val="00D57DBA"/>
    <w:rsid w:val="00D616AD"/>
    <w:rsid w:val="00D6728C"/>
    <w:rsid w:val="00D7001D"/>
    <w:rsid w:val="00D8058B"/>
    <w:rsid w:val="00D82249"/>
    <w:rsid w:val="00D8389F"/>
    <w:rsid w:val="00DA369F"/>
    <w:rsid w:val="00DB08C9"/>
    <w:rsid w:val="00DB1A07"/>
    <w:rsid w:val="00DB3B75"/>
    <w:rsid w:val="00DC574D"/>
    <w:rsid w:val="00DC7999"/>
    <w:rsid w:val="00DC79BE"/>
    <w:rsid w:val="00DD1C3C"/>
    <w:rsid w:val="00DE691E"/>
    <w:rsid w:val="00DF2291"/>
    <w:rsid w:val="00DF36B9"/>
    <w:rsid w:val="00DF7E6C"/>
    <w:rsid w:val="00E03139"/>
    <w:rsid w:val="00E03804"/>
    <w:rsid w:val="00E0682A"/>
    <w:rsid w:val="00E129AE"/>
    <w:rsid w:val="00E1353B"/>
    <w:rsid w:val="00E17A2A"/>
    <w:rsid w:val="00E21976"/>
    <w:rsid w:val="00E24AFE"/>
    <w:rsid w:val="00E25214"/>
    <w:rsid w:val="00E25CB9"/>
    <w:rsid w:val="00E27CFA"/>
    <w:rsid w:val="00E32C80"/>
    <w:rsid w:val="00E42DAD"/>
    <w:rsid w:val="00E504B8"/>
    <w:rsid w:val="00E66532"/>
    <w:rsid w:val="00E70524"/>
    <w:rsid w:val="00E73690"/>
    <w:rsid w:val="00E776BD"/>
    <w:rsid w:val="00E83741"/>
    <w:rsid w:val="00E842F0"/>
    <w:rsid w:val="00E84D8D"/>
    <w:rsid w:val="00E905C1"/>
    <w:rsid w:val="00E908CC"/>
    <w:rsid w:val="00E94C7F"/>
    <w:rsid w:val="00E960F7"/>
    <w:rsid w:val="00E968BB"/>
    <w:rsid w:val="00EA421C"/>
    <w:rsid w:val="00EA5E0A"/>
    <w:rsid w:val="00EA5F53"/>
    <w:rsid w:val="00EA6049"/>
    <w:rsid w:val="00EA73BA"/>
    <w:rsid w:val="00EB1251"/>
    <w:rsid w:val="00EB5057"/>
    <w:rsid w:val="00EC1A8D"/>
    <w:rsid w:val="00EC56EA"/>
    <w:rsid w:val="00EF3500"/>
    <w:rsid w:val="00F153ED"/>
    <w:rsid w:val="00F23F20"/>
    <w:rsid w:val="00F30BE1"/>
    <w:rsid w:val="00F320AB"/>
    <w:rsid w:val="00F323BB"/>
    <w:rsid w:val="00F33565"/>
    <w:rsid w:val="00F37E29"/>
    <w:rsid w:val="00F41D60"/>
    <w:rsid w:val="00F5117A"/>
    <w:rsid w:val="00F5269D"/>
    <w:rsid w:val="00F55143"/>
    <w:rsid w:val="00F555F5"/>
    <w:rsid w:val="00F56A96"/>
    <w:rsid w:val="00F5788B"/>
    <w:rsid w:val="00F608CA"/>
    <w:rsid w:val="00F66629"/>
    <w:rsid w:val="00F75A87"/>
    <w:rsid w:val="00F768F8"/>
    <w:rsid w:val="00F819B0"/>
    <w:rsid w:val="00F836C9"/>
    <w:rsid w:val="00F9020B"/>
    <w:rsid w:val="00F9525C"/>
    <w:rsid w:val="00FA33BD"/>
    <w:rsid w:val="00FC611E"/>
    <w:rsid w:val="00FD545C"/>
    <w:rsid w:val="00FD55E8"/>
    <w:rsid w:val="00FD7C46"/>
    <w:rsid w:val="00FE2F0C"/>
    <w:rsid w:val="00FE4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5A2"/>
  <w14:defaultImageDpi w14:val="32767"/>
  <w15:chartTrackingRefBased/>
  <w15:docId w15:val="{0F1A110B-307C-674F-BD75-D4545313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FA"/>
    <w:pPr>
      <w:spacing w:before="120" w:after="120" w:line="360" w:lineRule="auto"/>
      <w:jc w:val="both"/>
    </w:pPr>
    <w:rPr>
      <w:rFonts w:ascii="Times New Roman" w:hAnsi="Times New Roman"/>
    </w:rPr>
  </w:style>
  <w:style w:type="paragraph" w:styleId="Heading1">
    <w:name w:val="heading 1"/>
    <w:aliases w:val="Heading 1 PhD"/>
    <w:basedOn w:val="Normal"/>
    <w:next w:val="Normal"/>
    <w:link w:val="Heading1Char"/>
    <w:uiPriority w:val="9"/>
    <w:qFormat/>
    <w:rsid w:val="00BF55FD"/>
    <w:pPr>
      <w:keepNext/>
      <w:keepLines/>
      <w:numPr>
        <w:numId w:val="3"/>
      </w:numPr>
      <w:spacing w:before="240" w:line="259" w:lineRule="auto"/>
      <w:outlineLvl w:val="0"/>
    </w:pPr>
    <w:rPr>
      <w:rFonts w:asciiTheme="majorHAnsi" w:eastAsiaTheme="majorEastAsia" w:hAnsiTheme="majorHAnsi" w:cstheme="majorBidi"/>
      <w:sz w:val="28"/>
      <w:szCs w:val="32"/>
      <w:lang w:val="de-DE"/>
    </w:rPr>
  </w:style>
  <w:style w:type="paragraph" w:styleId="Heading2">
    <w:name w:val="heading 2"/>
    <w:aliases w:val="Heading 2 Phd"/>
    <w:basedOn w:val="Normal"/>
    <w:next w:val="Normal"/>
    <w:link w:val="Heading2Char"/>
    <w:uiPriority w:val="9"/>
    <w:unhideWhenUsed/>
    <w:qFormat/>
    <w:rsid w:val="00BF55FD"/>
    <w:pPr>
      <w:keepNext/>
      <w:keepLines/>
      <w:numPr>
        <w:ilvl w:val="1"/>
        <w:numId w:val="3"/>
      </w:numPr>
      <w:spacing w:before="280" w:after="240" w:line="259" w:lineRule="auto"/>
      <w:outlineLvl w:val="1"/>
    </w:pPr>
    <w:rPr>
      <w:rFonts w:asciiTheme="majorHAnsi" w:eastAsiaTheme="majorEastAsia" w:hAnsiTheme="majorHAnsi" w:cstheme="majorBidi"/>
      <w:color w:val="000000" w:themeColor="text1"/>
      <w:szCs w:val="26"/>
      <w:lang w:val="de-DE"/>
    </w:rPr>
  </w:style>
  <w:style w:type="paragraph" w:styleId="Heading3">
    <w:name w:val="heading 3"/>
    <w:aliases w:val="Heading 3 PhD"/>
    <w:basedOn w:val="Normal"/>
    <w:next w:val="Normal"/>
    <w:link w:val="Heading3Char"/>
    <w:uiPriority w:val="9"/>
    <w:unhideWhenUsed/>
    <w:qFormat/>
    <w:rsid w:val="00BF55FD"/>
    <w:pPr>
      <w:keepNext/>
      <w:keepLines/>
      <w:numPr>
        <w:ilvl w:val="2"/>
        <w:numId w:val="1"/>
      </w:numPr>
      <w:spacing w:before="280" w:after="240" w:line="259" w:lineRule="auto"/>
      <w:ind w:left="2160"/>
      <w:outlineLvl w:val="2"/>
    </w:pPr>
    <w:rPr>
      <w:rFonts w:asciiTheme="majorHAnsi" w:eastAsiaTheme="majorEastAsia" w:hAnsiTheme="majorHAnsi" w:cstheme="majorBidi"/>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54F8C"/>
    <w:rPr>
      <w:sz w:val="20"/>
    </w:rPr>
  </w:style>
  <w:style w:type="character" w:customStyle="1" w:styleId="FootnoteTextChar">
    <w:name w:val="Footnote Text Char"/>
    <w:basedOn w:val="DefaultParagraphFont"/>
    <w:link w:val="FootnoteText"/>
    <w:uiPriority w:val="99"/>
    <w:rsid w:val="00654F8C"/>
    <w:rPr>
      <w:rFonts w:ascii="Times New Roman" w:hAnsi="Times New Roman"/>
      <w:sz w:val="20"/>
    </w:rPr>
  </w:style>
  <w:style w:type="character" w:customStyle="1" w:styleId="Heading1Char">
    <w:name w:val="Heading 1 Char"/>
    <w:aliases w:val="Heading 1 PhD Char"/>
    <w:basedOn w:val="DefaultParagraphFont"/>
    <w:link w:val="Heading1"/>
    <w:uiPriority w:val="9"/>
    <w:rsid w:val="00BF55FD"/>
    <w:rPr>
      <w:rFonts w:asciiTheme="majorHAnsi" w:eastAsiaTheme="majorEastAsia" w:hAnsiTheme="majorHAnsi" w:cstheme="majorBidi"/>
      <w:sz w:val="28"/>
      <w:szCs w:val="32"/>
      <w:lang w:val="de-DE"/>
    </w:rPr>
  </w:style>
  <w:style w:type="character" w:customStyle="1" w:styleId="Heading2Char">
    <w:name w:val="Heading 2 Char"/>
    <w:aliases w:val="Heading 2 Phd Char"/>
    <w:basedOn w:val="DefaultParagraphFont"/>
    <w:link w:val="Heading2"/>
    <w:uiPriority w:val="9"/>
    <w:rsid w:val="00BF55FD"/>
    <w:rPr>
      <w:rFonts w:asciiTheme="majorHAnsi" w:eastAsiaTheme="majorEastAsia" w:hAnsiTheme="majorHAnsi" w:cstheme="majorBidi"/>
      <w:color w:val="000000" w:themeColor="text1"/>
      <w:szCs w:val="26"/>
      <w:lang w:val="de-DE"/>
    </w:rPr>
  </w:style>
  <w:style w:type="character" w:customStyle="1" w:styleId="Heading3Char">
    <w:name w:val="Heading 3 Char"/>
    <w:aliases w:val="Heading 3 PhD Char"/>
    <w:basedOn w:val="DefaultParagraphFont"/>
    <w:link w:val="Heading3"/>
    <w:uiPriority w:val="9"/>
    <w:rsid w:val="00BF55FD"/>
    <w:rPr>
      <w:rFonts w:asciiTheme="majorHAnsi" w:eastAsiaTheme="majorEastAsia" w:hAnsiTheme="majorHAnsi" w:cstheme="majorBidi"/>
      <w:i/>
      <w:lang w:val="de-DE"/>
    </w:rPr>
  </w:style>
  <w:style w:type="paragraph" w:customStyle="1" w:styleId="JRSHeadline1">
    <w:name w:val="JRS Headline 1"/>
    <w:basedOn w:val="Heading1"/>
    <w:qFormat/>
    <w:rsid w:val="00E17A2A"/>
    <w:pPr>
      <w:numPr>
        <w:numId w:val="0"/>
      </w:numPr>
      <w:spacing w:line="360" w:lineRule="auto"/>
    </w:pPr>
    <w:rPr>
      <w:rFonts w:ascii="Times New Roman" w:hAnsi="Times New Roman" w:cs="Times New Roman"/>
      <w:b/>
      <w:sz w:val="24"/>
    </w:rPr>
  </w:style>
  <w:style w:type="paragraph" w:customStyle="1" w:styleId="JRSHeadline2">
    <w:name w:val="JRS Headline 2"/>
    <w:basedOn w:val="JRSHeadline1"/>
    <w:qFormat/>
    <w:rsid w:val="00E17A2A"/>
    <w:rPr>
      <w:b w:val="0"/>
      <w:i/>
    </w:rPr>
  </w:style>
  <w:style w:type="table" w:styleId="TableGrid">
    <w:name w:val="Table Grid"/>
    <w:basedOn w:val="TableNormal"/>
    <w:uiPriority w:val="39"/>
    <w:rsid w:val="00EC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7CFA"/>
    <w:pPr>
      <w:numPr>
        <w:numId w:val="0"/>
      </w:numPr>
      <w:spacing w:before="480" w:line="276" w:lineRule="auto"/>
      <w:outlineLvl w:val="9"/>
    </w:pPr>
    <w:rPr>
      <w:b/>
      <w:bCs/>
      <w:color w:val="2F5496" w:themeColor="accent1" w:themeShade="BF"/>
      <w:szCs w:val="28"/>
      <w:lang w:val="en-US"/>
    </w:rPr>
  </w:style>
  <w:style w:type="paragraph" w:styleId="TOC2">
    <w:name w:val="toc 2"/>
    <w:basedOn w:val="Normal"/>
    <w:next w:val="Normal"/>
    <w:autoRedefine/>
    <w:uiPriority w:val="39"/>
    <w:unhideWhenUsed/>
    <w:rsid w:val="00E27CFA"/>
    <w:pPr>
      <w:ind w:left="240"/>
    </w:pPr>
    <w:rPr>
      <w:rFonts w:cstheme="minorHAnsi"/>
      <w:b/>
      <w:bCs/>
      <w:sz w:val="22"/>
      <w:szCs w:val="22"/>
    </w:rPr>
  </w:style>
  <w:style w:type="paragraph" w:styleId="TOC1">
    <w:name w:val="toc 1"/>
    <w:basedOn w:val="Normal"/>
    <w:next w:val="Normal"/>
    <w:autoRedefine/>
    <w:uiPriority w:val="39"/>
    <w:unhideWhenUsed/>
    <w:rsid w:val="00E27CFA"/>
    <w:rPr>
      <w:rFonts w:cstheme="minorHAnsi"/>
      <w:b/>
      <w:bCs/>
      <w:i/>
      <w:iCs/>
    </w:rPr>
  </w:style>
  <w:style w:type="paragraph" w:styleId="TOC3">
    <w:name w:val="toc 3"/>
    <w:basedOn w:val="Normal"/>
    <w:next w:val="Normal"/>
    <w:autoRedefine/>
    <w:uiPriority w:val="39"/>
    <w:unhideWhenUsed/>
    <w:rsid w:val="00E27CFA"/>
    <w:pPr>
      <w:ind w:left="480"/>
    </w:pPr>
    <w:rPr>
      <w:rFonts w:cstheme="minorHAnsi"/>
      <w:sz w:val="20"/>
      <w:szCs w:val="20"/>
    </w:rPr>
  </w:style>
  <w:style w:type="paragraph" w:styleId="TOC4">
    <w:name w:val="toc 4"/>
    <w:basedOn w:val="Normal"/>
    <w:next w:val="Normal"/>
    <w:autoRedefine/>
    <w:uiPriority w:val="39"/>
    <w:semiHidden/>
    <w:unhideWhenUsed/>
    <w:rsid w:val="00E27CFA"/>
    <w:pPr>
      <w:ind w:left="720"/>
    </w:pPr>
    <w:rPr>
      <w:rFonts w:cstheme="minorHAnsi"/>
      <w:sz w:val="20"/>
      <w:szCs w:val="20"/>
    </w:rPr>
  </w:style>
  <w:style w:type="paragraph" w:styleId="TOC5">
    <w:name w:val="toc 5"/>
    <w:basedOn w:val="Normal"/>
    <w:next w:val="Normal"/>
    <w:autoRedefine/>
    <w:uiPriority w:val="39"/>
    <w:semiHidden/>
    <w:unhideWhenUsed/>
    <w:rsid w:val="00E27CFA"/>
    <w:pPr>
      <w:ind w:left="960"/>
    </w:pPr>
    <w:rPr>
      <w:rFonts w:cstheme="minorHAnsi"/>
      <w:sz w:val="20"/>
      <w:szCs w:val="20"/>
    </w:rPr>
  </w:style>
  <w:style w:type="paragraph" w:styleId="TOC6">
    <w:name w:val="toc 6"/>
    <w:basedOn w:val="Normal"/>
    <w:next w:val="Normal"/>
    <w:autoRedefine/>
    <w:uiPriority w:val="39"/>
    <w:semiHidden/>
    <w:unhideWhenUsed/>
    <w:rsid w:val="00E27CFA"/>
    <w:pPr>
      <w:ind w:left="1200"/>
    </w:pPr>
    <w:rPr>
      <w:rFonts w:cstheme="minorHAnsi"/>
      <w:sz w:val="20"/>
      <w:szCs w:val="20"/>
    </w:rPr>
  </w:style>
  <w:style w:type="paragraph" w:styleId="TOC7">
    <w:name w:val="toc 7"/>
    <w:basedOn w:val="Normal"/>
    <w:next w:val="Normal"/>
    <w:autoRedefine/>
    <w:uiPriority w:val="39"/>
    <w:semiHidden/>
    <w:unhideWhenUsed/>
    <w:rsid w:val="00E27CFA"/>
    <w:pPr>
      <w:ind w:left="1440"/>
    </w:pPr>
    <w:rPr>
      <w:rFonts w:cstheme="minorHAnsi"/>
      <w:sz w:val="20"/>
      <w:szCs w:val="20"/>
    </w:rPr>
  </w:style>
  <w:style w:type="paragraph" w:styleId="TOC8">
    <w:name w:val="toc 8"/>
    <w:basedOn w:val="Normal"/>
    <w:next w:val="Normal"/>
    <w:autoRedefine/>
    <w:uiPriority w:val="39"/>
    <w:semiHidden/>
    <w:unhideWhenUsed/>
    <w:rsid w:val="00E27CFA"/>
    <w:pPr>
      <w:ind w:left="1680"/>
    </w:pPr>
    <w:rPr>
      <w:rFonts w:cstheme="minorHAnsi"/>
      <w:sz w:val="20"/>
      <w:szCs w:val="20"/>
    </w:rPr>
  </w:style>
  <w:style w:type="paragraph" w:styleId="TOC9">
    <w:name w:val="toc 9"/>
    <w:basedOn w:val="Normal"/>
    <w:next w:val="Normal"/>
    <w:autoRedefine/>
    <w:uiPriority w:val="39"/>
    <w:semiHidden/>
    <w:unhideWhenUsed/>
    <w:rsid w:val="00E27CFA"/>
    <w:pPr>
      <w:ind w:left="1920"/>
    </w:pPr>
    <w:rPr>
      <w:rFonts w:cstheme="minorHAnsi"/>
      <w:sz w:val="20"/>
      <w:szCs w:val="20"/>
    </w:rPr>
  </w:style>
  <w:style w:type="character" w:styleId="Hyperlink">
    <w:name w:val="Hyperlink"/>
    <w:basedOn w:val="DefaultParagraphFont"/>
    <w:uiPriority w:val="99"/>
    <w:unhideWhenUsed/>
    <w:rsid w:val="00E27CFA"/>
    <w:rPr>
      <w:color w:val="0563C1" w:themeColor="hyperlink"/>
      <w:u w:val="single"/>
    </w:rPr>
  </w:style>
  <w:style w:type="paragraph" w:styleId="BalloonText">
    <w:name w:val="Balloon Text"/>
    <w:basedOn w:val="Normal"/>
    <w:link w:val="BalloonTextChar"/>
    <w:uiPriority w:val="99"/>
    <w:semiHidden/>
    <w:unhideWhenUsed/>
    <w:rsid w:val="00E27CFA"/>
    <w:pPr>
      <w:spacing w:before="0"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E27C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7CFA"/>
    <w:rPr>
      <w:sz w:val="16"/>
      <w:szCs w:val="16"/>
    </w:rPr>
  </w:style>
  <w:style w:type="paragraph" w:styleId="CommentText">
    <w:name w:val="annotation text"/>
    <w:basedOn w:val="Normal"/>
    <w:link w:val="CommentTextChar"/>
    <w:uiPriority w:val="99"/>
    <w:semiHidden/>
    <w:unhideWhenUsed/>
    <w:rsid w:val="00E27CFA"/>
    <w:pPr>
      <w:spacing w:before="0" w:after="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E27CFA"/>
    <w:rPr>
      <w:sz w:val="20"/>
      <w:szCs w:val="20"/>
    </w:rPr>
  </w:style>
  <w:style w:type="paragraph" w:styleId="ListParagraph">
    <w:name w:val="List Paragraph"/>
    <w:basedOn w:val="Normal"/>
    <w:uiPriority w:val="34"/>
    <w:qFormat/>
    <w:rsid w:val="00E27CFA"/>
    <w:pPr>
      <w:spacing w:before="0" w:after="0" w:line="240" w:lineRule="auto"/>
      <w:ind w:left="720"/>
      <w:contextualSpacing/>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B93F-7830-CE48-B0B3-F3B872D8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Fritzsche</dc:creator>
  <cp:keywords/>
  <dc:description/>
  <cp:lastModifiedBy>Jasmin Fritzsche</cp:lastModifiedBy>
  <cp:revision>7</cp:revision>
  <dcterms:created xsi:type="dcterms:W3CDTF">2020-02-06T16:03:00Z</dcterms:created>
  <dcterms:modified xsi:type="dcterms:W3CDTF">2021-03-16T22:04:00Z</dcterms:modified>
</cp:coreProperties>
</file>